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"/>
          <w:b/>
          <w:sz w:val="32"/>
        </w:rPr>
        <w:t>주 주 간 계 약 서</w:t>
      </w:r>
    </w:p>
    <w:p>
      <w:pPr>
        <w:spacing w:after="120"/>
        <w:jc w:val="center"/>
      </w:pPr>
      <w:r>
        <w:rPr>
          <w:rFonts w:ascii="Times New Roman" w:hAnsi="Times New Roman" w:eastAsia="바탕"/>
          <w:b w:val="0"/>
          <w:sz w:val="28"/>
        </w:rPr>
        <w:t>(Shareholders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본 주주간계약(이하 "본 계약")은 {{ signing_date }}(이하 "본 계약 체결일") 아래 당사자들 사이에서 체결되었다.</w:t>
      </w:r>
    </w:p>
    <w:p>
      <w:r>
        <w:rPr>
          <w:rFonts w:ascii="Times New Roman" w:hAnsi="Times New Roman" w:eastAsia="바탕"/>
          <w:sz w:val="23"/>
        </w:rPr>
        <w:t>{%p for s in shareholders %}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{{ s.name }}(이하 "{{ s.name }}")</w:t>
      </w:r>
    </w:p>
    <w:p>
      <w:r>
        <w:rPr>
          <w:rFonts w:ascii="Times New Roman" w:hAnsi="Times New Roman" w:eastAsia="바탕"/>
          <w:sz w:val="23"/>
        </w:rPr>
        <w:t>{%p endfor %}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전     문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본 계약 체결일 현재 {{ company_name }}(이하 "대상회사")의 주주 구성은 다음과 같다.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당사자들은 대상회사의 공동 운영과 당사자들의 권리·의무를 규율하기 위하여 본 계약을 체결한다.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아     래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제1조 (정의 및 목적)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사용되는 용어는 본건 주식매매계약 및 신주인수계약에서 정한 바에 따르며, 본 계약은 대상회사의 경영과 주주간 관계를 규율하는 것을 목적으로 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제2조 (이사회 구성 및 임원)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이사회 구성.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대상회사의 이사회는 총 {{ board_seats_total }}인 이상으로 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이사 지명권.</w:t>
      </w:r>
    </w:p>
    <w:p>
      <w:r>
        <w:rPr>
          <w:rFonts w:ascii="Times New Roman" w:hAnsi="Times New Roman" w:eastAsia="바탕"/>
          <w:sz w:val="23"/>
        </w:rPr>
        <w:t>{%p for b in board_seats_by_shareholder %}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{{ b.shareholder }}은(는) 이사 {{ b.seats }}인을 지명할 권리를 가진다.</w:t>
      </w:r>
    </w:p>
    <w:p>
      <w:r>
        <w:rPr>
          <w:rFonts w:ascii="Times New Roman" w:hAnsi="Times New Roman" w:eastAsia="바탕"/>
          <w:sz w:val="23"/>
        </w:rPr>
        <w:t>{%p endfor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제3조 (우선매수권 (Right of First Refusal))</w:t>
      </w:r>
    </w:p>
    <w:p>
      <w:r>
        <w:rPr>
          <w:rFonts w:ascii="Times New Roman" w:hAnsi="Times New Roman" w:eastAsia="바탕"/>
          <w:sz w:val="23"/>
        </w:rPr>
        <w:t>{%p if rofr_included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주주가 그 보유주식의 전부 또는 일부를 제3자에게 양도(담보 설정 포함)하고자 하는 경우, 다른 주주는 당해 양도 예정 주식에 대하여 우선적으로 매수할 권리를 가진다.</w:t>
      </w:r>
    </w:p>
    <w:p>
      <w:r>
        <w:rPr>
          <w:rFonts w:ascii="Times New Roman" w:hAnsi="Times New Roman" w:eastAsia="바탕"/>
          <w:sz w:val="23"/>
        </w:rPr>
        <w:t>{%p else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우선매수권은 적용하지 아니한다.</w:t>
      </w:r>
    </w:p>
    <w:p>
      <w:r>
        <w:rPr>
          <w:rFonts w:ascii="Times New Roman" w:hAnsi="Times New Roman" w:eastAsia="바탕"/>
          <w:sz w:val="23"/>
        </w:rPr>
        <w:t>{%p endif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제4조 (동반매각권 (Drag-Along Right))</w:t>
      </w:r>
    </w:p>
    <w:p>
      <w:r>
        <w:rPr>
          <w:rFonts w:ascii="Times New Roman" w:hAnsi="Times New Roman" w:eastAsia="바탕"/>
          <w:sz w:val="23"/>
        </w:rPr>
        <w:t>{%p if drag_along_included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지배주주가 제3자에게 대상회사 발행주식의 과반수 이상을 매각하고자 하는 경우, 지배주주는 다른 주주들로 하여금 동일한 조건으로 그 보유주식을 함께 매각하도록 요구할 수 있다.</w:t>
      </w:r>
    </w:p>
    <w:p>
      <w:r>
        <w:rPr>
          <w:rFonts w:ascii="Times New Roman" w:hAnsi="Times New Roman" w:eastAsia="바탕"/>
          <w:sz w:val="23"/>
        </w:rPr>
        <w:t>{%p else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동반매각권은 적용하지 아니한다.</w:t>
      </w:r>
    </w:p>
    <w:p>
      <w:r>
        <w:rPr>
          <w:rFonts w:ascii="Times New Roman" w:hAnsi="Times New Roman" w:eastAsia="바탕"/>
          <w:sz w:val="23"/>
        </w:rPr>
        <w:t>{%p endif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제5조 (동반참여권 (Tag-Along Right))</w:t>
      </w:r>
    </w:p>
    <w:p>
      <w:r>
        <w:rPr>
          <w:rFonts w:ascii="Times New Roman" w:hAnsi="Times New Roman" w:eastAsia="바탕"/>
          <w:sz w:val="23"/>
        </w:rPr>
        <w:t>{%p if tag_along_included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지배주주가 제3자에게 그 보유주식의 전부 또는 일부를 매각하고자 하는 경우, 다른 주주는 동일한 조건으로 자신의 보유주식을 함께 매각할 권리를 가진다.</w:t>
      </w:r>
    </w:p>
    <w:p>
      <w:r>
        <w:rPr>
          <w:rFonts w:ascii="Times New Roman" w:hAnsi="Times New Roman" w:eastAsia="바탕"/>
          <w:sz w:val="23"/>
        </w:rPr>
        <w:t>{%p else %}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동반참여권은 적용하지 아니한다.</w:t>
      </w:r>
    </w:p>
    <w:p>
      <w:r>
        <w:rPr>
          <w:rFonts w:ascii="Times New Roman" w:hAnsi="Times New Roman" w:eastAsia="바탕"/>
          <w:sz w:val="23"/>
        </w:rPr>
        <w:t>{%p endif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제6조 (주식 처분 제한 (Lock-up))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각 주주는 본 계약 체결일로부터 {{ lock_up_months }}개월이 경과하는 날까지 다른 당사자의 사전 서면 동의 없이 그 보유주식 또는 그 일부를 제3자에게 양도하거나 담보권을 설정하여서는 아니 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제7조 (경업금지 및 비밀유지)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각 주주는 본 계약 종료 후 {{ non_compete_months }}개월 동안 대상회사와 동일하거나 유사한 사업을 직접 또는 제3자를 통해 영위하여서는 아니 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제8조 (준거법 및 관할)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계약은 {{ governing_law }} 법에 따라 해석되며, 본 계약으로부터 발생하는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"/>
          <w:sz w:val="23"/>
        </w:rPr>
        <w:t>{{ signing_date }}</w:t>
      </w:r>
    </w:p>
    <w:p/>
    <w:p>
      <w:r>
        <w:rPr>
          <w:rFonts w:ascii="Times New Roman" w:hAnsi="Times New Roman" w:eastAsia="바탕"/>
          <w:b/>
          <w:sz w:val="24"/>
        </w:rPr>
        <w:t>【 주주 서명란 】</w:t>
      </w:r>
    </w:p>
    <w:p>
      <w:r>
        <w:rPr>
          <w:rFonts w:ascii="Times New Roman" w:hAnsi="Times New Roman" w:eastAsia="바탕"/>
          <w:sz w:val="23"/>
        </w:rPr>
        <w:t>{%p for s in shareholders %}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주주: {{ s.name }}   보유주식: {{ s.shares }}주   지분율: {{ s.pct }}%</w:t>
      </w:r>
    </w:p>
    <w:p>
      <w:r>
        <w:rPr>
          <w:rFonts w:ascii="Times New Roman" w:hAnsi="Times New Roman" w:eastAsia="바탕"/>
          <w:sz w:val="23"/>
        </w:rPr>
        <w:t>{%p endfor %}</w:t>
      </w:r>
    </w:p>
    <w:sectPr w:rsidR="00FC693F" w:rsidRPr="0006063C" w:rsidSect="00034616">
      <w:footerReference w:type="default" r:id="rId9"/>
      <w:pgSz w:w="11906" w:h="16838"/>
      <w:pgMar w:top="1701" w:right="1417" w:bottom="1701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- </w:t>
    </w: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  <w:jc w:val="both"/>
    </w:pPr>
    <w:rPr>
      <w:rFonts w:ascii="Times New Roman" w:hAnsi="Times New Roman" w:eastAsia="바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_L1">
    <w:name w:val="Contract_L1"/>
    <w:basedOn w:val="Normal"/>
    <w:pPr>
      <w:spacing w:line="312" w:lineRule="auto" w:before="360" w:after="240"/>
      <w:jc w:val="both"/>
    </w:pPr>
    <w:rPr>
      <w:rFonts w:ascii="Times New Roman" w:hAnsi="Times New Roman" w:eastAsia="바탕"/>
      <w:b/>
      <w:sz w:val="23"/>
    </w:rPr>
  </w:style>
  <w:style w:type="paragraph" w:customStyle="1" w:styleId="Contract_L2">
    <w:name w:val="Contract_L2"/>
    <w:basedOn w:val="Normal"/>
    <w:pPr>
      <w:spacing w:line="312" w:lineRule="auto" w:before="0" w:after="0"/>
      <w:ind w:left="737" w:hanging="73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3">
    <w:name w:val="Contract_L3"/>
    <w:basedOn w:val="Normal"/>
    <w:pPr>
      <w:spacing w:line="312" w:lineRule="auto" w:before="0" w:after="0"/>
      <w:ind w:left="1191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4">
    <w:name w:val="Contract_L4"/>
    <w:basedOn w:val="Normal"/>
    <w:pPr>
      <w:spacing w:line="312" w:lineRule="auto" w:before="0" w:after="0"/>
      <w:ind w:left="1587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Body">
    <w:name w:val="Contract_Body"/>
    <w:basedOn w:val="Normal"/>
    <w:pPr>
      <w:spacing w:line="312" w:lineRule="auto" w:before="0" w:after="0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Definition">
    <w:name w:val="Contract_Definition"/>
    <w:basedOn w:val="Normal"/>
    <w:pPr>
      <w:spacing w:line="312" w:lineRule="auto" w:before="0" w:after="0"/>
      <w:ind w:left="737"/>
      <w:jc w:val="both"/>
    </w:pPr>
    <w:rPr>
      <w:rFonts w:ascii="Times New Roman" w:hAnsi="Times New Roman" w:eastAsia="바탕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