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40"/>
        <w:jc w:val="center"/>
      </w:pPr>
      <w:r>
        <w:rPr>
          <w:rFonts w:ascii="Times New Roman" w:hAnsi="Times New Roman" w:eastAsia="바탕체"/>
          <w:b/>
          <w:sz w:val="32"/>
        </w:rPr>
        <w:t xml:space="preserve">Redflag DD — 대상기업</w:t>
      </w:r>
    </w:p>
    <w:p>
      <w:pPr>
        <w:spacing w:after="120"/>
        <w:jc w:val="center"/>
      </w:pPr>
      <w:r>
        <w:rPr>
          <w:rFonts w:ascii="Times New Roman" w:hAnsi="Times New Roman" w:eastAsia="바탕체"/>
          <w:sz w:val="22"/>
        </w:rPr>
        <w:t>Redflag Due Diligence Report</w:t>
      </w:r>
    </w:p>
    <w:p/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 xml:space="preserve">대상회사:  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 xml:space="preserve">실사기간:  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보고서유형: Redflag DD (Red/Amber 이슈 중심)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 xml:space="preserve">법무법인:  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 xml:space="preserve">담당변호사: 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 xml:space="preserve">작성일:    2026년 02월 25일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imes New Roman" w:hAnsi="Times New Roman" w:eastAsia="바탕체"/>
          <w:b/>
          <w:sz w:val="28"/>
        </w:rPr>
        <w:t>I. Executive Summary</w:t>
      </w:r>
    </w:p>
    <w:p>
      <w:pPr>
        <w:pStyle w:val="Heading2"/>
        <w:spacing w:before="200" w:after="120"/>
      </w:pPr>
      <w:r>
        <w:rPr>
          <w:rFonts w:ascii="Times New Roman" w:hAnsi="Times New Roman" w:eastAsia="바탕체"/>
          <w:b/>
          <w:sz w:val="24"/>
        </w:rPr>
        <w:t>Overall Assessment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Redflag DD는 대상회사 에 대한 법률실사에서 Red(Critical) 및 Amber(High/Medium) 등급 이슈를 중심으로 거래에 미치는 영향과 주요 권고사항을 기술한다.</w:t>
      </w:r>
    </w:p>
    <w:p/>
    <w:p>
      <w:pPr>
        <w:spacing w:after="80"/>
      </w:pPr>
      <w:r>
        <w:rPr>
          <w:rFonts w:ascii="Times New Roman" w:hAnsi="Times New Roman" w:eastAsia="바탕체"/>
          <w:sz w:val="24"/>
        </w:rPr>
        <w:t>이슈 현황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FF0000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Critical (Red)</w:t>
            </w:r>
          </w:p>
        </w:tc>
        <w:tc>
          <w:tcPr>
            <w:tcW w:type="dxa" w:w="2256"/>
            <w:shd w:val="clear" w:color="auto" w:fill="FF9900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High/Medium (Amber)</w:t>
            </w:r>
          </w:p>
        </w:tc>
        <w:tc>
          <w:tcPr>
            <w:tcW w:type="dxa" w:w="2256"/>
            <w:shd w:val="clear" w:color="auto" w:fill="70AD47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Low (Green)</w:t>
            </w:r>
          </w:p>
        </w:tc>
        <w:tc>
          <w:tcPr>
            <w:tcW w:type="dxa" w:w="2256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합계</w:t>
            </w:r>
          </w:p>
        </w:tc>
      </w:tr>
      <w:tr>
        <w:tc>
          <w:tcPr>
            <w:tcW w:type="dxa" w:w="2256"/>
            <w:shd w:val="clear" w:color="auto" w:fill="FCE4D6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 xml:space="preserve">0</w:t>
            </w:r>
          </w:p>
        </w:tc>
        <w:tc>
          <w:tcPr>
            <w:tcW w:type="dxa" w:w="2256"/>
            <w:shd w:val="clear" w:color="auto" w:fill="FFF2CC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 xml:space="preserve">0</w:t>
            </w:r>
          </w:p>
        </w:tc>
        <w:tc>
          <w:tcPr>
            <w:tcW w:type="dxa" w:w="2256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 xml:space="preserve">0</w:t>
            </w:r>
          </w:p>
        </w:tc>
        <w:tc>
          <w:tcPr>
            <w:tcW w:type="dxa" w:w="2256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 xml:space="preserve">0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Times New Roman" w:hAnsi="Times New Roman" w:eastAsia="바탕체"/>
          <w:b/>
          <w:sz w:val="24"/>
        </w:rPr>
        <w:t>Key Recommendations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1. Critical(Red) 이슈에 대해 거래 진행 전 해소 방안 확인 필요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2. Amber 이슈는 진술보장 조항 또는 거래가격 조정에 반영 권고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3. RFI 요청 항목(0건)에 대한 추가 자료 수령 필요</w:t>
      </w:r>
    </w:p>
    <w:p/>
    <w:p>
      <w:pPr>
        <w:pStyle w:val="Heading2"/>
        <w:spacing w:before="200" w:after="120"/>
      </w:pPr>
      <w:r>
        <w:rPr>
          <w:rFonts w:ascii="Times New Roman" w:hAnsi="Times New Roman" w:eastAsia="바탕체"/>
          <w:b/>
          <w:sz w:val="24"/>
        </w:rPr>
        <w:t>Red Flags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섹션</w:t>
            </w:r>
          </w:p>
        </w:tc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항목명</w:t>
            </w:r>
          </w:p>
        </w:tc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위험도</w:t>
            </w:r>
          </w:p>
        </w:tc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발견사항</w:t>
            </w:r>
          </w:p>
        </w:tc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거래영향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Times New Roman" w:hAnsi="Times New Roman" w:eastAsia="바탕체"/>
          <w:b/>
          <w:sz w:val="28"/>
        </w:rPr>
        <w:t>II. 상세 Findings (Red/Amber 이슈)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※ Green(Low) 이슈 및 OK/N/A 항목은 본 보고서에서 제외합니다.</w:t>
      </w:r>
    </w:p>
    <w:p/>
    <w:p>
      <w:pPr>
        <w:spacing w:after="80"/>
      </w:pPr>
      <w:r>
        <w:rPr>
          <w:rFonts w:ascii="Times New Roman" w:hAnsi="Times New Roman" w:eastAsia="바탕체"/>
          <w:sz w:val="24"/>
        </w:rPr>
        <w:t>— 이 상 —</w:t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