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Times New Roman" w:hAnsi="Times New Roman" w:eastAsia="바탕체"/>
          <w:b/>
          <w:sz w:val="32"/>
        </w:rPr>
        <w:t xml:space="preserve">Redflag DD — 대상기업</w:t>
      </w:r>
    </w:p>
    <w:p>
      <w:pPr>
        <w:spacing w:after="120"/>
        <w:jc w:val="center"/>
      </w:pPr>
      <w:r>
        <w:rPr>
          <w:rFonts w:ascii="Times New Roman" w:hAnsi="Times New Roman" w:eastAsia="바탕체"/>
          <w:sz w:val="22"/>
        </w:rPr>
        <w:t>Redflag Due Diligence Report</w:t>
      </w:r>
    </w:p>
    <w:p/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대상회사: 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실사기간: 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보고서유형: Redflag DD (Red/Amber 이슈 중심)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법무법인: 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담당변호사: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작성일:    2026년 02월 23일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I. Executive Summary</w:t>
      </w:r>
    </w:p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Overall Assessment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Redflag DD는 대상회사 에 대한 법률실사에서 Red(Critical) 및 Amber(High/Medium) 등급 이슈를 중심으로 거래에 미치는 영향과 주요 권고사항을 기술한다.</w:t>
      </w:r>
    </w:p>
    <w:p/>
    <w:p>
      <w:pPr>
        <w:spacing w:after="80"/>
      </w:pPr>
      <w:r>
        <w:rPr>
          <w:rFonts w:ascii="Times New Roman" w:hAnsi="Times New Roman" w:eastAsia="바탕체"/>
          <w:sz w:val="24"/>
        </w:rPr>
        <w:t>이슈 현황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FF00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Critical (Red)</w:t>
            </w:r>
          </w:p>
        </w:tc>
        <w:tc>
          <w:tcPr>
            <w:tcW w:type="dxa" w:w="2256"/>
            <w:shd w:val="clear" w:color="auto" w:fill="FF99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High/Medium (Amber)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Low (Green)</w:t>
            </w:r>
          </w:p>
        </w:tc>
        <w:tc>
          <w:tcPr>
            <w:tcW w:type="dxa" w:w="22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합계</w:t>
            </w:r>
          </w:p>
        </w:tc>
      </w:tr>
      <w:tr>
        <w:tc>
          <w:tcPr>
            <w:tcW w:type="dxa" w:w="2256"/>
            <w:shd w:val="clear" w:color="auto"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  <w:tc>
          <w:tcPr>
            <w:tcW w:type="dxa" w:w="2256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  <w:tc>
          <w:tcPr>
            <w:tcW w:type="dxa" w:w="2256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  <w:tc>
          <w:tcPr>
            <w:tcW w:type="dxa" w:w="22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Key Recommendations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1. Critical(Red) 이슈에 대해 거래 진행 전 해소 방안 확인 필요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2. Amber 이슈는 진술보장 조항 또는 거래가격 조정에 반영 권고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3. RFI 요청 항목(0건)에 대한 추가 자료 수령 필요</w:t>
      </w:r>
    </w:p>
    <w:p/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Red Flags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섹션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항목명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위험도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발견사항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거래영향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II. 상세 Findings (Red/Amber 이슈)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※ Green(Low) 이슈 및 OK/N/A 항목은 본 보고서에서 제외합니다.</w:t>
      </w:r>
    </w:p>
    <w:p/>
    <w:p>
      <w:pPr>
        <w:spacing w:after="80"/>
      </w:pPr>
      <w:r>
        <w:rPr>
          <w:rFonts w:ascii="Times New Roman" w:hAnsi="Times New Roman" w:eastAsia="바탕체"/>
          <w:sz w:val="24"/>
        </w:rPr>
        <w:t>— 이 상 —</w:t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