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rFonts w:ascii="Times New Roman" w:hAnsi="Times New Roman" w:eastAsia="바탕체"/>
          <w:b/>
          <w:sz w:val="32"/>
        </w:rPr>
        <w:t>주 주 간 계 약 서</w:t>
      </w:r>
    </w:p>
    <w:p>
      <w:pPr>
        <w:spacing w:after="120"/>
        <w:jc w:val="center"/>
      </w:pPr>
      <w:r>
        <w:rPr>
          <w:rFonts w:ascii="Times New Roman" w:hAnsi="Times New Roman" w:eastAsia="바탕체"/>
          <w:b w:val="0"/>
          <w:sz w:val="20"/>
        </w:rPr>
        <w:t>(Shareholders Agreement)</w:t>
      </w:r>
    </w:p>
    <w:p>
      <w:r>
        <w:br w:type="page"/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주주간계약(이하 "본 계약")은 2026. 02. 23.(이하 "본 계약 체결일") 아래 당사자들 사이에서 체결되었다.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에스케이아이엘에코시너지밸류업1호(이하 "에스케이아이엘에코시너지밸류업1호")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기존주주1(이하 "기존주주1")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기존주주2(이하 "기존주주2")</w:t>
      </w:r>
    </w:p>
    <w:p>
      <w:pPr>
        <w:spacing w:before="200" w:after="120"/>
        <w:jc w:val="center"/>
      </w:pPr>
      <w:r>
        <w:rPr>
          <w:rFonts w:ascii="Times New Roman" w:hAnsi="Times New Roman" w:eastAsia="바탕체"/>
          <w:b/>
          <w:sz w:val="24"/>
        </w:rPr>
        <w:t>전     문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계약 체결일 현재 주식회사 대상회사(이하 "대상회사")의 주주 구성은 다음과 같다.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당사자들은 대상회사의 공동 운영과 당사자들의 권리·의무를 규율하기 위하여 본 계약을 체결한다.</w:t>
      </w:r>
    </w:p>
    <w:p>
      <w:pPr>
        <w:spacing w:before="200" w:after="120"/>
        <w:jc w:val="center"/>
      </w:pPr>
      <w:r>
        <w:rPr>
          <w:rFonts w:ascii="Times New Roman" w:hAnsi="Times New Roman" w:eastAsia="바탕체"/>
          <w:b/>
          <w:sz w:val="24"/>
        </w:rPr>
        <w:t>아     래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제1조 (정의 및 목적)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본 계약에서 사용되는 용어는 본건 주식매매계약 및 신주인수계약에서 정한 바에 따르며, 본 계약은 대상회사의 경영과 주주간 관계를 규율하는 것을 목적으로 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제2조 (이사회 구성 및 임원)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이사회 구성.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대상회사의 이사회는 총 3인 이상으로 한다.</w:t>
      </w:r>
    </w:p>
    <w:p>
      <w:pPr>
        <w:pStyle w:val="Heading2"/>
        <w:spacing w:before="160" w:after="80"/>
      </w:pPr>
      <w:r>
        <w:rPr>
          <w:rFonts w:ascii="Times New Roman" w:hAnsi="Times New Roman" w:eastAsia="바탕체"/>
          <w:b/>
          <w:sz w:val="24"/>
        </w:rPr>
        <w:t>이사 지명권.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에스케이아이엘에코시너지밸류업1호은(는) 이사 2인을 지명할 권리를 가진다.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기존주주은(는) 이사 1인을 지명할 권리를 가진다.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제3조 (우선매수권 (Right of First Refusal))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주주가 그 보유주식의 전부 또는 일부를 제3자에게 양도(담보 설정 포함)하고자 하는 경우, 다른 주주는 당해 양도 예정 주식에 대하여 우선적으로 매수할 권리를 가진다.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제4조 (동반매각권 (Drag-Along Right))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지배주주가 제3자에게 대상회사 발행주식의 과반수 이상을 매각하고자 하는 경우, 지배주주는 다른 주주들로 하여금 동일한 조건으로 그 보유주식을 함께 매각하도록 요구할 수 있다.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제5조 (동반참여권 (Tag-Along Right))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>지배주주가 제3자에게 그 보유주식의 전부 또는 일부를 매각하고자 하는 경우, 다른 주주는 동일한 조건으로 자신의 보유주식을 함께 매각할 권리를 가진다.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제6조 (주식 처분 제한 (Lock-up))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각 주주는 본 계약 체결일로부터 24개월이 경과하는 날까지 다른 당사자의 사전 서면 동의 없이 그 보유주식 또는 그 일부를 제3자에게 양도하거나 담보권을 설정하여서는 아니 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제7조 (경업금지 및 비밀유지)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각 주주는 본 계약 종료 후 36개월 동안 대상회사와 동일하거나 유사한 사업을 직접 또는 제3자를 통해 영위하여서는 아니 된다.</w:t>
      </w:r>
    </w:p>
    <w:p>
      <w:pPr>
        <w:pStyle w:val="Heading1"/>
        <w:spacing w:before="240" w:after="120"/>
      </w:pPr>
      <w:r>
        <w:rPr>
          <w:rFonts w:ascii="Times New Roman" w:hAnsi="Times New Roman" w:eastAsia="바탕체"/>
          <w:b/>
          <w:sz w:val="24"/>
        </w:rPr>
        <w:t>제8조 (준거법 및 관할)</w:t>
      </w:r>
    </w:p>
    <w:p>
      <w:pPr>
        <w:spacing w:after="80"/>
      </w:pPr>
      <w:r>
        <w:rPr>
          <w:rFonts w:ascii="Times New Roman" w:hAnsi="Times New Roman" w:eastAsia="바탕체"/>
          <w:sz w:val="24"/>
        </w:rPr>
        <w:t xml:space="preserve">본 계약은 대한민국 법에 따라 해석되며, 본 계약으로부터 발생하는 분쟁은 서울중앙지방법원을 제1심 전속 관할법원으로 한다.</w:t>
      </w:r>
    </w:p>
    <w:p>
      <w:pPr>
        <w:spacing w:before="400" w:after="200"/>
        <w:jc w:val="center"/>
      </w:pPr>
      <w:r>
        <w:rPr>
          <w:rFonts w:ascii="Times New Roman" w:hAnsi="Times New Roman" w:eastAsia="바탕체"/>
          <w:sz w:val="24"/>
        </w:rPr>
        <w:t xml:space="preserve">2026. 02. 23.</w:t>
      </w:r>
    </w:p>
    <w:p/>
    <w:p>
      <w:r>
        <w:rPr>
          <w:rFonts w:ascii="Times New Roman" w:hAnsi="Times New Roman" w:eastAsia="바탕체"/>
          <w:b/>
          <w:sz w:val="24"/>
        </w:rPr>
        <w:t>【 주주 서명란 】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주주: 에스케이아이엘에코시너지밸류업1호   보유주식: 2500000주   지분율: 50.0%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주주: 기존주주1   보유주식: 1500000주   지분율: 30.0%</w:t>
      </w:r>
    </w:p>
    <w:p>
      <w:pPr>
        <w:spacing w:after="80"/>
        <w:ind w:left="737"/>
      </w:pPr>
      <w:r>
        <w:rPr>
          <w:rFonts w:ascii="Times New Roman" w:hAnsi="Times New Roman" w:eastAsia="바탕체"/>
          <w:sz w:val="24"/>
        </w:rPr>
        <w:t xml:space="preserve">주주: 기존주주2   보유주식: 1000000주   지분율: 20.0%</w:t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