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rFonts w:ascii="Times New Roman" w:hAnsi="Times New Roman" w:eastAsia="바탕체"/>
          <w:b/>
          <w:sz w:val="32"/>
        </w:rPr>
        <w:t>{{ title }}</w:t>
      </w:r>
    </w:p>
    <w:p>
      <w:pPr>
        <w:spacing w:after="120"/>
        <w:jc w:val="center"/>
      </w:pPr>
      <w:r>
        <w:rPr>
          <w:rFonts w:ascii="Times New Roman" w:hAnsi="Times New Roman" w:eastAsia="바탕체"/>
          <w:sz w:val="22"/>
        </w:rPr>
        <w:t>Redflag Due Diligence Report</w:t>
      </w:r>
    </w:p>
    <w:p/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대상회사:  {{ target_company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실사기간:  {{ dd_period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보고서유형: Redflag DD (Red/Amber 이슈 중심)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법무법인:  {{ law_firm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담당변호사: {{ prepared_by }}</w:t>
      </w:r>
    </w:p>
    <w:p>
      <w:pPr>
        <w:spacing w:after="80"/>
        <w:ind w:left="1134"/>
      </w:pPr>
      <w:r>
        <w:rPr>
          <w:rFonts w:ascii="Times New Roman" w:hAnsi="Times New Roman" w:eastAsia="바탕체"/>
          <w:sz w:val="24"/>
        </w:rPr>
        <w:t>작성일:    {{ report_date }}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I. Executive Summary</w:t>
      </w:r>
    </w:p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Overall Assessment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Redflag DD는 대상회사 {{ target_company }}에 대한 법률실사에서 Red(Critical) 및 Amber(High/Medium) 등급 이슈를 중심으로 거래에 미치는 영향과 주요 권고사항을 기술한다.</w:t>
      </w:r>
    </w:p>
    <w:p/>
    <w:p>
      <w:pPr>
        <w:spacing w:after="80"/>
      </w:pPr>
      <w:r>
        <w:rPr>
          <w:rFonts w:ascii="Times New Roman" w:hAnsi="Times New Roman" w:eastAsia="바탕체"/>
          <w:sz w:val="24"/>
        </w:rPr>
        <w:t>이슈 현황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FF0000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Critical (Red)</w:t>
            </w:r>
          </w:p>
        </w:tc>
        <w:tc>
          <w:tcPr>
            <w:tcW w:type="dxa" w:w="2256"/>
            <w:shd w:val="clear" w:color="auto" w:fill="FF9900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High/Medium (Amber)</w:t>
            </w:r>
          </w:p>
        </w:tc>
        <w:tc>
          <w:tcPr>
            <w:tcW w:type="dxa" w:w="2256"/>
            <w:shd w:val="clear" w:color="auto" w:fill="70AD47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Low (Green)</w:t>
            </w:r>
          </w:p>
        </w:tc>
        <w:tc>
          <w:tcPr>
            <w:tcW w:type="dxa" w:w="22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20"/>
              </w:rPr>
              <w:t>합계</w:t>
            </w:r>
          </w:p>
        </w:tc>
      </w:tr>
      <w:tr>
        <w:tc>
          <w:tcPr>
            <w:tcW w:type="dxa" w:w="2256"/>
            <w:shd w:val="clear" w:color="auto"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red_count }}</w:t>
            </w:r>
          </w:p>
        </w:tc>
        <w:tc>
          <w:tcPr>
            <w:tcW w:type="dxa" w:w="2256"/>
            <w:shd w:val="clear" w:color="auto" w:fill="FFF2CC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amber_count }}</w:t>
            </w:r>
          </w:p>
        </w:tc>
        <w:tc>
          <w:tcPr>
            <w:tcW w:type="dxa" w:w="2256"/>
            <w:shd w:val="clear" w:color="auto" w:fill="E2EFDA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green_count }}</w:t>
            </w:r>
          </w:p>
        </w:tc>
        <w:tc>
          <w:tcPr>
            <w:tcW w:type="dxa" w:w="22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 w:val="0"/>
                <w:sz w:val="20"/>
              </w:rPr>
              <w:t>{{ issue_count }}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Key Recommendations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1. Critical(Red) 이슈에 대해 거래 진행 전 해소 방안 확인 필요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2. Amber 이슈는 진술보장 조항 또는 거래가격 조정에 반영 권고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3. RFI 요청 항목({{ rfi_count }}건)에 대한 추가 자료 수령 필요</w:t>
      </w:r>
    </w:p>
    <w:p/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Red Flags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섹션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항목명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위험도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발견사항</w:t>
            </w:r>
          </w:p>
        </w:tc>
        <w:tc>
          <w:tcPr>
            <w:tcW w:type="dxa" w:w="1805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거래영향</w:t>
            </w:r>
          </w:p>
        </w:tc>
      </w:tr>
      <w:tr>
        <w:tc>
          <w:tcPr>
            <w:tcW w:type="dxa" w:w="1805"/>
          </w:tcPr>
          <w:p>
            <w:r/>
            <w:r>
              <w:t>{%tr for issue in red_issues %}</w:t>
            </w:r>
          </w:p>
        </w:tc>
        <w:tc>
          <w:tcPr>
            <w:tcW w:type="dxa" w:w="1805"/>
          </w:tcPr>
          <w:p>
            <w:r/>
          </w:p>
        </w:tc>
        <w:tc>
          <w:tcPr>
            <w:tcW w:type="dxa" w:w="1805"/>
          </w:tcPr>
          <w:p>
            <w:r/>
          </w:p>
        </w:tc>
        <w:tc>
          <w:tcPr>
            <w:tcW w:type="dxa" w:w="1805"/>
          </w:tcPr>
          <w:p>
            <w:r/>
          </w:p>
        </w:tc>
        <w:tc>
          <w:tcPr>
            <w:tcW w:type="dxa" w:w="1805"/>
          </w:tcPr>
          <w:p>
            <w:r/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issue.section_title }}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issue.name }}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issue.issue_level }} ({{ issue.risk_color }})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issue.description }}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issue.deal_impact }}</w:t>
            </w:r>
          </w:p>
        </w:tc>
      </w:tr>
      <w:tr>
        <w:tc>
          <w:tcPr>
            <w:tcW w:type="dxa" w:w="1805"/>
          </w:tcPr>
          <w:p>
            <w:r/>
            <w:r>
              <w:t>{%tr endfor %}</w:t>
            </w:r>
          </w:p>
        </w:tc>
        <w:tc>
          <w:tcPr>
            <w:tcW w:type="dxa" w:w="1805"/>
          </w:tcPr>
          <w:p>
            <w:r/>
          </w:p>
        </w:tc>
        <w:tc>
          <w:tcPr>
            <w:tcW w:type="dxa" w:w="1805"/>
          </w:tcPr>
          <w:p>
            <w:r/>
          </w:p>
        </w:tc>
        <w:tc>
          <w:tcPr>
            <w:tcW w:type="dxa" w:w="1805"/>
          </w:tcPr>
          <w:p>
            <w:r/>
          </w:p>
        </w:tc>
        <w:tc>
          <w:tcPr>
            <w:tcW w:type="dxa" w:w="1805"/>
          </w:tcPr>
          <w:p>
            <w:r/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Times New Roman" w:hAnsi="Times New Roman" w:eastAsia="바탕체"/>
          <w:b/>
          <w:sz w:val="28"/>
        </w:rPr>
        <w:t>II. 상세 Findings (Red/Amber 이슈)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※ Green(Low) 이슈 및 OK/N/A 항목은 본 보고서에서 제외합니다.</w:t>
      </w:r>
    </w:p>
    <w:p/>
    <w:p>
      <w:r>
        <w:rPr>
          <w:rFonts w:ascii="Times New Roman" w:hAnsi="Times New Roman" w:eastAsia="바탕체"/>
          <w:sz w:val="24"/>
        </w:rPr>
        <w:t>{%p for section in sections_with_issues %}</w:t>
      </w:r>
    </w:p>
    <w:p>
      <w:pPr>
        <w:pStyle w:val="Heading2"/>
        <w:spacing w:before="200" w:after="120"/>
      </w:pPr>
      <w:r>
        <w:rPr>
          <w:rFonts w:ascii="Times New Roman" w:hAnsi="Times New Roman" w:eastAsia="바탕체"/>
          <w:b/>
          <w:sz w:val="24"/>
        </w:rPr>
        <w:t>{{ section.title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항목명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이슈등급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발견사항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거래영향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권고사항</w:t>
            </w:r>
          </w:p>
        </w:tc>
        <w:tc>
          <w:tcPr>
            <w:tcW w:type="dxa" w:w="15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바탕체"/>
                <w:b/>
                <w:sz w:val="18"/>
              </w:rPr>
              <w:t>RFI</w:t>
            </w:r>
          </w:p>
        </w:tc>
      </w:tr>
      <w:tr>
        <w:tc>
          <w:tcPr>
            <w:tcW w:type="dxa" w:w="1504"/>
          </w:tcPr>
          <w:p>
            <w:r/>
            <w:r>
              <w:t>{%tr for item in section.issues %}</w:t>
            </w:r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item.name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item.issue_level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item.description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item.deal_impact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item.recommendation }}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바탕체"/>
                <w:b w:val="0"/>
                <w:sz w:val="18"/>
              </w:rPr>
              <w:t>{{ item.rfi_number if item.rfi_required else '' }}</w:t>
            </w:r>
          </w:p>
        </w:tc>
      </w:tr>
      <w:tr>
        <w:tc>
          <w:tcPr>
            <w:tcW w:type="dxa" w:w="1504"/>
          </w:tcPr>
          <w:p>
            <w:r/>
            <w:r>
              <w:t>{%tr endfor %}</w:t>
            </w:r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  <w:tc>
          <w:tcPr>
            <w:tcW w:type="dxa" w:w="1504"/>
          </w:tcPr>
          <w:p>
            <w:r/>
          </w:p>
        </w:tc>
      </w:tr>
    </w:tbl>
    <w:p/>
    <w:p>
      <w:r>
        <w:rPr>
          <w:rFonts w:ascii="Times New Roman" w:hAnsi="Times New Roman" w:eastAsia="바탕체"/>
          <w:sz w:val="24"/>
        </w:rPr>
        <w:t>{%p endfor %}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— 이 상 —</w:t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