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Times New Roman" w:hAnsi="Times New Roman" w:eastAsia="바탕체"/>
          <w:b/>
          <w:sz w:val="40"/>
        </w:rPr>
        <w:t>영 업 양 수 도 계 약 서</w:t>
      </w:r>
    </w:p>
    <w:p>
      <w:pPr>
        <w:spacing w:after="120"/>
        <w:jc w:val="center"/>
      </w:pPr>
      <w:r>
        <w:rPr>
          <w:rFonts w:ascii="Times New Roman" w:hAnsi="Times New Roman" w:eastAsia="바탕체"/>
          <w:b w:val="0"/>
          <w:sz w:val="20"/>
        </w:rPr>
        <w:t>(Business Transfer Agreement)</w:t>
      </w:r>
    </w:p>
    <w:p>
      <w:r>
        <w:br w:type="page"/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영업양수도계약(이하 "본 계약")은 {{ signing_date }}(이하 "본 계약 체결일") 아래 당사자들 사이에서 체결되었다.</w:t>
      </w:r>
    </w:p>
    <w:p>
      <w:pPr>
        <w:spacing w:after="80"/>
        <w:ind w:left="850"/>
      </w:pPr>
      <w:r>
        <w:rPr>
          <w:rFonts w:ascii="Times New Roman" w:hAnsi="Times New Roman" w:eastAsia="바탕체"/>
          <w:sz w:val="24"/>
        </w:rPr>
        <w:t>{{ transferor_name }}(이하 "양도인")</w:t>
      </w:r>
    </w:p>
    <w:p>
      <w:pPr>
        <w:spacing w:after="80"/>
        <w:ind w:left="850"/>
      </w:pPr>
      <w:r>
        <w:rPr>
          <w:rFonts w:ascii="Times New Roman" w:hAnsi="Times New Roman" w:eastAsia="바탕체"/>
          <w:sz w:val="24"/>
        </w:rPr>
        <w:t>{{ transferee_name }}(이하 "양수인", 양도인과 양수인을 총칭하여 "당사자들")</w:t>
      </w:r>
    </w:p>
    <w:p>
      <w:pPr>
        <w:spacing w:before="200" w:after="120"/>
        <w:jc w:val="center"/>
      </w:pPr>
      <w:r>
        <w:rPr>
          <w:rFonts w:ascii="Times New Roman" w:hAnsi="Times New Roman" w:eastAsia="바탕체"/>
          <w:b/>
          <w:sz w:val="24"/>
        </w:rPr>
        <w:t>전     문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양도인은 {{ business_description }}을(를) 영위하고 있으며, 양도인과 양수인은 본 계약에서 정하는 바에 따라 양도인이 양수인에게 양도대상 영업을 포괄적으로 양도하고, 양수인은 이를 양수하는 거래를 진행하기로 합의하였다.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이에 당사자들은 아래와 같이 합의한다.</w:t>
      </w:r>
    </w:p>
    <w:p>
      <w:pPr>
        <w:spacing w:before="200" w:after="120"/>
        <w:jc w:val="center"/>
      </w:pPr>
      <w:r>
        <w:rPr>
          <w:rFonts w:ascii="Times New Roman" w:hAnsi="Times New Roman" w:eastAsia="바탕체"/>
          <w:b/>
          <w:sz w:val="24"/>
        </w:rPr>
        <w:t>아     래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제1조 (정의)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정의.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계약에서 사용되는 다음의 용어는 아래 규정된 의미를 가진다.</w:t>
      </w:r>
    </w:p>
    <w:p>
      <w:pPr>
        <w:spacing w:after="80"/>
        <w:ind w:left="794"/>
      </w:pPr>
      <w:r>
        <w:rPr>
          <w:rFonts w:ascii="Times New Roman" w:hAnsi="Times New Roman" w:eastAsia="바탕체"/>
          <w:sz w:val="24"/>
        </w:rPr>
        <w:t>"양도대상 영업"이란 {{ business_description }}을 말한다.</w:t>
      </w:r>
    </w:p>
    <w:p>
      <w:pPr>
        <w:spacing w:after="80"/>
        <w:ind w:left="794"/>
      </w:pPr>
      <w:r>
        <w:rPr>
          <w:rFonts w:ascii="Times New Roman" w:hAnsi="Times New Roman" w:eastAsia="바탕체"/>
          <w:sz w:val="24"/>
        </w:rPr>
        <w:t>"거래종결일"이란 {{ closing_date }}을 말한다.</w:t>
      </w:r>
    </w:p>
    <w:p>
      <w:pPr>
        <w:spacing w:after="80"/>
        <w:ind w:left="794"/>
      </w:pPr>
      <w:r>
        <w:rPr>
          <w:rFonts w:ascii="Times New Roman" w:hAnsi="Times New Roman" w:eastAsia="바탕체"/>
          <w:sz w:val="24"/>
        </w:rPr>
        <w:t>"양도대금"이란 금 {{ total_consideration }}원을 말한다.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제2조 (양도대상 영업의 범위)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이전 자산.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양도영업에 포함되는 자산(이하 "이전 자산")은 다음과 같다.</w:t>
      </w:r>
    </w:p>
    <w:p>
      <w:r>
        <w:rPr>
          <w:rFonts w:ascii="Times New Roman" w:hAnsi="Times New Roman" w:eastAsia="바탕체"/>
          <w:sz w:val="24"/>
        </w:rPr>
        <w:t>{%p for asset in transferred_assets %}</w:t>
      </w:r>
    </w:p>
    <w:p>
      <w:pPr>
        <w:spacing w:after="80"/>
        <w:ind w:left="794"/>
      </w:pPr>
      <w:r>
        <w:rPr>
          <w:rFonts w:ascii="Times New Roman" w:hAnsi="Times New Roman" w:eastAsia="바탕체"/>
          <w:sz w:val="24"/>
        </w:rPr>
        <w:t>· {{ asset }}</w:t>
      </w:r>
    </w:p>
    <w:p>
      <w:r>
        <w:rPr>
          <w:rFonts w:ascii="Times New Roman" w:hAnsi="Times New Roman" w:eastAsia="바탕체"/>
          <w:sz w:val="24"/>
        </w:rPr>
        <w:t>{%p endfor %}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제외 자산.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다음 자산은 양도 대상에서 제외한다.</w:t>
      </w:r>
    </w:p>
    <w:p>
      <w:r>
        <w:rPr>
          <w:rFonts w:ascii="Times New Roman" w:hAnsi="Times New Roman" w:eastAsia="바탕체"/>
          <w:sz w:val="24"/>
        </w:rPr>
        <w:t>{%p for asset in excluded_assets %}</w:t>
      </w:r>
    </w:p>
    <w:p>
      <w:pPr>
        <w:spacing w:after="80"/>
        <w:ind w:left="794"/>
      </w:pPr>
      <w:r>
        <w:rPr>
          <w:rFonts w:ascii="Times New Roman" w:hAnsi="Times New Roman" w:eastAsia="바탕체"/>
          <w:sz w:val="24"/>
        </w:rPr>
        <w:t>· {{ asset }}</w:t>
      </w:r>
    </w:p>
    <w:p>
      <w:r>
        <w:rPr>
          <w:rFonts w:ascii="Times New Roman" w:hAnsi="Times New Roman" w:eastAsia="바탕체"/>
          <w:sz w:val="24"/>
        </w:rPr>
        <w:t>{%p endfor %}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제3조 (부채 및 의무의 인수)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양수인은 거래종결일에 다음의 부채 및 의무를 인수한다.</w:t>
      </w:r>
    </w:p>
    <w:p>
      <w:r>
        <w:rPr>
          <w:rFonts w:ascii="Times New Roman" w:hAnsi="Times New Roman" w:eastAsia="바탕체"/>
          <w:sz w:val="24"/>
        </w:rPr>
        <w:t>{%p for liab in transferred_liabilities %}</w:t>
      </w:r>
    </w:p>
    <w:p>
      <w:pPr>
        <w:spacing w:after="80"/>
        <w:ind w:left="794"/>
      </w:pPr>
      <w:r>
        <w:rPr>
          <w:rFonts w:ascii="Times New Roman" w:hAnsi="Times New Roman" w:eastAsia="바탕체"/>
          <w:sz w:val="24"/>
        </w:rPr>
        <w:t>· {{ liab }}</w:t>
      </w:r>
    </w:p>
    <w:p>
      <w:r>
        <w:rPr>
          <w:rFonts w:ascii="Times New Roman" w:hAnsi="Times New Roman" w:eastAsia="바탕체"/>
          <w:sz w:val="24"/>
        </w:rPr>
        <w:t>{%p endfor %}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제4조 (양도대금)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양도대금.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양도대상 영업의 대금은 금 {{ total_consideration }}원으로 한다.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지급 방법.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양수인은 거래종결일에 양도인이 서면으로 지정하는 계좌로 양도대금 전액을 지급한다.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제5조 (직원 이전)</w:t>
      </w:r>
    </w:p>
    <w:p>
      <w:r>
        <w:rPr>
          <w:rFonts w:ascii="Times New Roman" w:hAnsi="Times New Roman" w:eastAsia="바탕체"/>
          <w:sz w:val="24"/>
        </w:rPr>
        <w:t>{%p if employee_transfer %}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양도인 소속 직원 {{ employee_count }}명은 거래종결일 기준으로 양수인에게 이전하며, 이전 직원의 근속기간 및 퇴직금 승계에 관하여는 별도 합의로 정한다.</w:t>
      </w:r>
    </w:p>
    <w:p>
      <w:r>
        <w:rPr>
          <w:rFonts w:ascii="Times New Roman" w:hAnsi="Times New Roman" w:eastAsia="바탕체"/>
          <w:sz w:val="24"/>
        </w:rPr>
        <w:t>{%p else %}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직원 이전 여부 및 조건은 별도 협의에 따른다.</w:t>
      </w:r>
    </w:p>
    <w:p>
      <w:r>
        <w:rPr>
          <w:rFonts w:ascii="Times New Roman" w:hAnsi="Times New Roman" w:eastAsia="바탕체"/>
          <w:sz w:val="24"/>
        </w:rPr>
        <w:t>{%p endif %}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제6조 (선행조건)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거래종결은 아래 각 호의 선행조건이 모두 충족(또는 포기)됨을 전제로 한다.</w:t>
      </w:r>
    </w:p>
    <w:p>
      <w:pPr>
        <w:spacing w:after="80"/>
        <w:ind w:left="794"/>
      </w:pPr>
      <w:r>
        <w:rPr>
          <w:rFonts w:ascii="Times New Roman" w:hAnsi="Times New Roman" w:eastAsia="바탕체"/>
          <w:sz w:val="24"/>
        </w:rPr>
        <w:t>① 각 당사자의 진술 및 보장이 거래종결일을 기준으로 중요한 면에서 사실과 부합할 것</w:t>
      </w:r>
    </w:p>
    <w:p>
      <w:pPr>
        <w:spacing w:after="80"/>
        <w:ind w:left="794"/>
      </w:pPr>
      <w:r>
        <w:rPr>
          <w:rFonts w:ascii="Times New Roman" w:hAnsi="Times New Roman" w:eastAsia="바탕체"/>
          <w:sz w:val="24"/>
        </w:rPr>
        <w:t>② 각 당사자가 본 계약상 의무를 중요한 면에서 이행하였을 것</w:t>
      </w:r>
    </w:p>
    <w:p>
      <w:pPr>
        <w:spacing w:after="80"/>
        <w:ind w:left="794"/>
      </w:pPr>
      <w:r>
        <w:rPr>
          <w:rFonts w:ascii="Times New Roman" w:hAnsi="Times New Roman" w:eastAsia="바탕체"/>
          <w:sz w:val="24"/>
        </w:rPr>
        <w:t>③ 관련 인허가 및 제3자 동의 취득 완료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제7조 (진술 및 보장)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양도인의 진술 및 보장.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양도인은 본 계약 체결일 및 거래종결일을 기준으로 다음 각 사항을 진술하고 보장한다.</w:t>
      </w:r>
    </w:p>
    <w:p>
      <w:pPr>
        <w:spacing w:after="80"/>
        <w:ind w:left="794"/>
      </w:pPr>
      <w:r>
        <w:rPr>
          <w:rFonts w:ascii="Times New Roman" w:hAnsi="Times New Roman" w:eastAsia="바탕체"/>
          <w:sz w:val="24"/>
        </w:rPr>
        <w:t>① 양도인은 본 계약을 체결하고 이행할 완전한 권한을 보유한다.</w:t>
      </w:r>
    </w:p>
    <w:p>
      <w:pPr>
        <w:spacing w:after="80"/>
        <w:ind w:left="794"/>
      </w:pPr>
      <w:r>
        <w:rPr>
          <w:rFonts w:ascii="Times New Roman" w:hAnsi="Times New Roman" w:eastAsia="바탕체"/>
          <w:sz w:val="24"/>
        </w:rPr>
        <w:t>② 양도대상 영업에는 별도 공시된 사항 외에 중요한 하자가 없다.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제8조 (준거법 및 관할)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계약은 {{ governing_law }} 법에 따라 해석되며, 분쟁은 서울중앙지방법원을 제1심 전속 관할법원으로 한다.</w:t>
      </w:r>
    </w:p>
    <w:p>
      <w:pPr>
        <w:spacing w:before="400" w:after="200"/>
        <w:jc w:val="center"/>
      </w:pPr>
      <w:r>
        <w:rPr>
          <w:rFonts w:ascii="Times New Roman" w:hAnsi="Times New Roman" w:eastAsia="바탕체"/>
          <w:sz w:val="24"/>
        </w:rPr>
        <w:t>{{ signing_date }}</w:t>
      </w:r>
    </w:p>
    <w:p/>
    <w:p>
      <w:pPr>
        <w:jc w:val="center"/>
      </w:pPr>
      <w:r>
        <w:rPr>
          <w:rFonts w:ascii="Times New Roman" w:hAnsi="Times New Roman" w:eastAsia="바탕체"/>
          <w:sz w:val="22"/>
        </w:rPr>
        <w:t>본 계약의 성립을 증명하기 위하여 아래에 서명 또는 기명날인한다.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H w:val="1701" w:type="atLeast"/>
          </w:tcPr>
          <w:p>
            <w:r>
              <w:rPr>
                <w:rFonts w:ascii="Times New Roman" w:hAnsi="Times New Roman" w:eastAsia="바탕체"/>
                <w:b/>
                <w:sz w:val="22"/>
              </w:rPr>
              <w:t>양도인 (甲)</w:t>
            </w:r>
          </w:p>
        </w:tc>
        <w:tc>
          <w:tcPr>
            <w:tcW w:type="dxa" w:w="4536"/>
            <w:tcH w:val="1701" w:type="atLeast"/>
          </w:tcPr>
          <w:p>
            <w:r>
              <w:rPr>
                <w:rFonts w:ascii="Times New Roman" w:hAnsi="Times New Roman" w:eastAsia="바탕체"/>
                <w:sz w:val="22"/>
              </w:rPr>
              <w:t>{{ transferor_name }}</w:t>
              <w:br/>
            </w:r>
            <w:r>
              <w:rPr>
                <w:rFonts w:ascii="Times New Roman" w:hAnsi="Times New Roman" w:eastAsia="바탕체"/>
                <w:sz w:val="22"/>
              </w:rPr>
              <w:t>대표이사: {{ transferor_representative }}</w:t>
            </w:r>
          </w:p>
        </w:tc>
      </w:tr>
      <w:tr>
        <w:tc>
          <w:tcPr>
            <w:tcW w:type="dxa" w:w="4536"/>
            <w:tcH w:val="1701" w:type="atLeast"/>
          </w:tcPr>
          <w:p>
            <w:r>
              <w:rPr>
                <w:rFonts w:ascii="Times New Roman" w:hAnsi="Times New Roman" w:eastAsia="바탕체"/>
                <w:b/>
                <w:sz w:val="22"/>
              </w:rPr>
              <w:t>양수인 (乙)</w:t>
            </w:r>
          </w:p>
        </w:tc>
        <w:tc>
          <w:tcPr>
            <w:tcW w:type="dxa" w:w="4536"/>
            <w:tcH w:val="1701" w:type="atLeast"/>
          </w:tcPr>
          <w:p>
            <w:r>
              <w:rPr>
                <w:rFonts w:ascii="Times New Roman" w:hAnsi="Times New Roman" w:eastAsia="바탕체"/>
                <w:sz w:val="22"/>
              </w:rPr>
              <w:t>{{ transferee_name }}</w:t>
              <w:br/>
            </w:r>
            <w:r>
              <w:rPr>
                <w:rFonts w:ascii="Times New Roman" w:hAnsi="Times New Roman" w:eastAsia="바탕체"/>
                <w:sz w:val="22"/>
              </w:rPr>
              <w:t>대표이사: {{ transferee_representative }}</w:t>
            </w:r>
          </w:p>
        </w:tc>
      </w:tr>
    </w:tbl>
    <w:sectPr w:rsidR="00FC693F" w:rsidRPr="0006063C" w:rsidSect="00034616"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