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Times New Roman" w:hAnsi="Times New Roman" w:eastAsia="바탕체"/>
          <w:b/>
          <w:sz w:val="28"/>
        </w:rPr>
        <w:t>양  해  각  서</w:t>
      </w:r>
    </w:p>
    <w:p>
      <w:pPr>
        <w:spacing w:after="120"/>
        <w:jc w:val="center"/>
      </w:pPr>
      <w:r>
        <w:rPr>
          <w:rFonts w:ascii="Times New Roman" w:hAnsi="Times New Roman" w:eastAsia="바탕체"/>
          <w:b w:val="0"/>
          <w:sz w:val="20"/>
        </w:rPr>
        <w:t>(Memorandum of Understanding)</w:t>
      </w:r>
    </w:p>
    <w:p>
      <w:r>
        <w:br w:type="page"/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양해각서(이하 "본 양해각서")는 {{ signing_date }}(이하 "본 양해각서 체결일")에 다음의 당사자들 사이에서 체결되었다.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{{ party_a_name }} 및 그 관계인들(이하 총칭하여 "매도인대표")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{{ party_b_name }}(이하 "매수인", 매도인대표와 매수인을 총칭하여 "당사자들")</w:t>
      </w:r>
    </w:p>
    <w:p>
      <w:pPr>
        <w:spacing w:before="200" w:after="120"/>
        <w:jc w:val="center"/>
      </w:pPr>
      <w:r>
        <w:rPr>
          <w:rFonts w:ascii="Times New Roman" w:hAnsi="Times New Roman" w:eastAsia="바탕체"/>
          <w:b/>
          <w:sz w:val="24"/>
        </w:rPr>
        <w:t>전     문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당사자들은 {{ purpose }}에 관한 기본적인 사항을 정하고자 본 양해각서를 체결한다.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제1조 (이행보증금 납입 및 독점적 협상권 부여)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양해각서 체결 즉시 매수인은 매도인대표가 지정하는 계좌에 이행보증금을 납입하며, 매도인대표는 본 양해각서 체결일로부터 {{ exclusivity_start_date }}까지 {{ exclusivity_period_days }}일간(이하 "독점적 협상기간") 매수인에게 독점적 협상권을 부여한다.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제2조 (실사)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매수인은 독점적 협상기간 동안 본건 거래와 관련하여 대상회사에 대한 재무, 조세, 법률, 환경 등 제반 실사를 진행할 예정이고, 매도인대표는 이에 필요한 자료와 협조를 제공한다.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제3조 (구속력 있는 조항)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양해각서 중 다음 각 호의 조항은 당사자들을 법적으로 구속한다.</w:t>
      </w:r>
    </w:p>
    <w:p>
      <w:r>
        <w:rPr>
          <w:rFonts w:ascii="Times New Roman" w:hAnsi="Times New Roman" w:eastAsia="바탕체"/>
          <w:sz w:val="24"/>
        </w:rPr>
        <w:t>{%p for p in binding_provisions %}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· {{ p }}</w:t>
      </w:r>
    </w:p>
    <w:p>
      <w:r>
        <w:rPr>
          <w:rFonts w:ascii="Times New Roman" w:hAnsi="Times New Roman" w:eastAsia="바탕체"/>
          <w:sz w:val="24"/>
        </w:rPr>
        <w:t>{%p endfor %}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제4조 (비구속적 조항)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다음 각 호의 사항은 법적 구속력을 갖지 아니하며, 향후 당사자들 사이에 별도로 체결될 본계약에서 최종적으로 합의될 예정이다.</w:t>
      </w:r>
    </w:p>
    <w:p>
      <w:r>
        <w:rPr>
          <w:rFonts w:ascii="Times New Roman" w:hAnsi="Times New Roman" w:eastAsia="바탕체"/>
          <w:sz w:val="24"/>
        </w:rPr>
        <w:t>{%p for p in non_binding_provisions %}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· {{ p }}</w:t>
      </w:r>
    </w:p>
    <w:p>
      <w:r>
        <w:rPr>
          <w:rFonts w:ascii="Times New Roman" w:hAnsi="Times New Roman" w:eastAsia="바탕체"/>
          <w:sz w:val="24"/>
        </w:rPr>
        <w:t>{%p endfor %}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제5조 (비밀유지)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당사자들은 본 양해각서 및 본건 거래의 협의 과정에서 알게 된 상대방의 비밀정보를 상대방의 사전 서면 동의 없이 제3자에게 공개하거나 본건 거래 이외의 목적으로 사용하여서는 아니 된다. 비밀유지 의무는 본 양해각서 종료 후 {{ confidentiality_period_months }}개월간 존속한다.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제6조 (준거법 및 관할)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양해각서는 {{ governing_law }} 법에 따라 해석되며, 분쟁은 서울중앙지방법원을 제1심 전속 관할법원으로 한다.</w:t>
      </w:r>
    </w:p>
    <w:p>
      <w:pPr>
        <w:spacing w:before="400" w:after="200"/>
        <w:jc w:val="center"/>
      </w:pPr>
      <w:r>
        <w:rPr>
          <w:rFonts w:ascii="Times New Roman" w:hAnsi="Times New Roman" w:eastAsia="바탕체"/>
          <w:sz w:val="24"/>
        </w:rPr>
        <w:t>{{ signing_date }}</w:t>
      </w:r>
    </w:p>
    <w:p/>
    <w:p>
      <w:pPr>
        <w:jc w:val="center"/>
      </w:pPr>
      <w:r>
        <w:rPr>
          <w:rFonts w:ascii="Times New Roman" w:hAnsi="Times New Roman" w:eastAsia="바탕체"/>
          <w:sz w:val="22"/>
        </w:rPr>
        <w:t>본 계약의 성립을 증명하기 위하여 아래에 서명 또는 기명날인한다.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tcH w:val="1701" w:type="atLeast"/>
          </w:tcPr>
          <w:p>
            <w:r>
              <w:rPr>
                <w:rFonts w:ascii="Times New Roman" w:hAnsi="Times New Roman" w:eastAsia="바탕체"/>
                <w:b/>
                <w:sz w:val="22"/>
              </w:rPr>
              <w:t>매도인대표 (甲)</w:t>
            </w:r>
          </w:p>
        </w:tc>
        <w:tc>
          <w:tcPr>
            <w:tcW w:type="dxa" w:w="4536"/>
            <w:tcH w:val="1701" w:type="atLeast"/>
          </w:tcPr>
          <w:p>
            <w:r>
              <w:rPr>
                <w:rFonts w:ascii="Times New Roman" w:hAnsi="Times New Roman" w:eastAsia="바탕체"/>
                <w:sz w:val="22"/>
              </w:rPr>
              <w:t>{{ party_a_name }}</w:t>
              <w:br/>
            </w:r>
            <w:r>
              <w:rPr>
                <w:rFonts w:ascii="Times New Roman" w:hAnsi="Times New Roman" w:eastAsia="바탕체"/>
                <w:sz w:val="22"/>
              </w:rPr>
              <w:t>대표이사: {{ party_a_representative }}</w:t>
            </w:r>
          </w:p>
        </w:tc>
      </w:tr>
      <w:tr>
        <w:tc>
          <w:tcPr>
            <w:tcW w:type="dxa" w:w="4536"/>
            <w:tcH w:val="1701" w:type="atLeast"/>
          </w:tcPr>
          <w:p>
            <w:r>
              <w:rPr>
                <w:rFonts w:ascii="Times New Roman" w:hAnsi="Times New Roman" w:eastAsia="바탕체"/>
                <w:b/>
                <w:sz w:val="22"/>
              </w:rPr>
              <w:t>매수인 (乙)</w:t>
            </w:r>
          </w:p>
        </w:tc>
        <w:tc>
          <w:tcPr>
            <w:tcW w:type="dxa" w:w="4536"/>
            <w:tcH w:val="1701" w:type="atLeast"/>
          </w:tcPr>
          <w:p>
            <w:r>
              <w:rPr>
                <w:rFonts w:ascii="Times New Roman" w:hAnsi="Times New Roman" w:eastAsia="바탕체"/>
                <w:sz w:val="22"/>
              </w:rPr>
              <w:t>{{ party_b_name }}</w:t>
              <w:br/>
            </w:r>
            <w:r>
              <w:rPr>
                <w:rFonts w:ascii="Times New Roman" w:hAnsi="Times New Roman" w:eastAsia="바탕체"/>
                <w:sz w:val="22"/>
              </w:rPr>
              <w:t>대표이사: {{ party_b_representative }}</w:t>
            </w:r>
          </w:p>
        </w:tc>
      </w:tr>
    </w:tbl>
    <w:sectPr w:rsidR="00FC693F" w:rsidRPr="0006063C" w:rsidSect="00034616">
      <w:pgSz w:w="11906" w:h="16838"/>
      <w:pgMar w:top="1701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