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 w:after="240"/>
        <w:jc w:val="center"/>
      </w:pPr>
      <w:r>
        <w:rPr>
          <w:rFonts w:ascii="Times New Roman" w:hAnsi="Times New Roman" w:eastAsia="바탕체"/>
          <w:b/>
          <w:sz w:val="32"/>
        </w:rPr>
        <w:t>주 주 간 계 약 서</w:t>
      </w:r>
    </w:p>
    <w:p>
      <w:pPr>
        <w:spacing w:after="120"/>
        <w:jc w:val="center"/>
      </w:pPr>
      <w:r>
        <w:rPr>
          <w:rFonts w:ascii="Times New Roman" w:hAnsi="Times New Roman" w:eastAsia="바탕체"/>
          <w:b w:val="0"/>
          <w:sz w:val="20"/>
        </w:rPr>
        <w:t>(Shareholders Agreement)</w:t>
      </w:r>
    </w:p>
    <w:p>
      <w:r>
        <w:br w:type="page"/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본 주주간계약(이하 "본 계약")은 {{ signing_date }}(이하 "본 계약 체결일") 아래 당사자들 사이에서 체결되었다.</w:t>
      </w:r>
    </w:p>
    <w:p>
      <w:r>
        <w:rPr>
          <w:rFonts w:ascii="Times New Roman" w:hAnsi="Times New Roman" w:eastAsia="바탕체"/>
          <w:sz w:val="24"/>
        </w:rPr>
        <w:t>{%p for s in shareholders %}</w:t>
      </w:r>
    </w:p>
    <w:p>
      <w:pPr>
        <w:spacing w:after="80"/>
        <w:ind w:left="737"/>
      </w:pPr>
      <w:r>
        <w:rPr>
          <w:rFonts w:ascii="Times New Roman" w:hAnsi="Times New Roman" w:eastAsia="바탕체"/>
          <w:sz w:val="24"/>
        </w:rPr>
        <w:t>{{ s.name }}(이하 "{{ s.name }}")</w:t>
      </w:r>
    </w:p>
    <w:p>
      <w:r>
        <w:rPr>
          <w:rFonts w:ascii="Times New Roman" w:hAnsi="Times New Roman" w:eastAsia="바탕체"/>
          <w:sz w:val="24"/>
        </w:rPr>
        <w:t>{%p endfor %}</w:t>
      </w:r>
    </w:p>
    <w:p>
      <w:pPr>
        <w:spacing w:before="200" w:after="120"/>
        <w:jc w:val="center"/>
      </w:pPr>
      <w:r>
        <w:rPr>
          <w:rFonts w:ascii="Times New Roman" w:hAnsi="Times New Roman" w:eastAsia="바탕체"/>
          <w:b/>
          <w:sz w:val="24"/>
        </w:rPr>
        <w:t>전     문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본 계약 체결일 현재 {{ company_name }}(이하 "대상회사")의 주주 구성은 다음과 같다.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당사자들은 대상회사의 공동 운영과 당사자들의 권리·의무를 규율하기 위하여 본 계약을 체결한다.</w:t>
      </w:r>
    </w:p>
    <w:p>
      <w:pPr>
        <w:spacing w:before="200" w:after="120"/>
        <w:jc w:val="center"/>
      </w:pPr>
      <w:r>
        <w:rPr>
          <w:rFonts w:ascii="Times New Roman" w:hAnsi="Times New Roman" w:eastAsia="바탕체"/>
          <w:b/>
          <w:sz w:val="24"/>
        </w:rPr>
        <w:t>아     래</w:t>
      </w:r>
    </w:p>
    <w:p>
      <w:pPr>
        <w:pStyle w:val="Heading1"/>
        <w:spacing w:before="240" w:after="120"/>
      </w:pPr>
      <w:r>
        <w:rPr>
          <w:rFonts w:ascii="Times New Roman" w:hAnsi="Times New Roman" w:eastAsia="바탕체"/>
          <w:b/>
          <w:sz w:val="24"/>
        </w:rPr>
        <w:t>제1조 (정의 및 목적)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본 계약에서 사용되는 용어는 본건 주식매매계약 및 신주인수계약에서 정한 바에 따르며, 본 계약은 대상회사의 경영과 주주간 관계를 규율하는 것을 목적으로 한다.</w:t>
      </w:r>
    </w:p>
    <w:p>
      <w:pPr>
        <w:pStyle w:val="Heading1"/>
        <w:spacing w:before="240" w:after="120"/>
      </w:pPr>
      <w:r>
        <w:rPr>
          <w:rFonts w:ascii="Times New Roman" w:hAnsi="Times New Roman" w:eastAsia="바탕체"/>
          <w:b/>
          <w:sz w:val="24"/>
        </w:rPr>
        <w:t>제2조 (이사회 구성 및 임원)</w:t>
      </w:r>
    </w:p>
    <w:p>
      <w:pPr>
        <w:pStyle w:val="Heading2"/>
        <w:spacing w:before="160" w:after="80"/>
      </w:pPr>
      <w:r>
        <w:rPr>
          <w:rFonts w:ascii="Times New Roman" w:hAnsi="Times New Roman" w:eastAsia="바탕체"/>
          <w:b/>
          <w:sz w:val="24"/>
        </w:rPr>
        <w:t>이사회 구성.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대상회사의 이사회는 총 {{ board_seats_total }}인 이상으로 한다.</w:t>
      </w:r>
    </w:p>
    <w:p>
      <w:pPr>
        <w:pStyle w:val="Heading2"/>
        <w:spacing w:before="160" w:after="80"/>
      </w:pPr>
      <w:r>
        <w:rPr>
          <w:rFonts w:ascii="Times New Roman" w:hAnsi="Times New Roman" w:eastAsia="바탕체"/>
          <w:b/>
          <w:sz w:val="24"/>
        </w:rPr>
        <w:t>이사 지명권.</w:t>
      </w:r>
    </w:p>
    <w:p>
      <w:r>
        <w:rPr>
          <w:rFonts w:ascii="Times New Roman" w:hAnsi="Times New Roman" w:eastAsia="바탕체"/>
          <w:sz w:val="24"/>
        </w:rPr>
        <w:t>{%p for b in board_seats_by_shareholder %}</w:t>
      </w:r>
    </w:p>
    <w:p>
      <w:pPr>
        <w:spacing w:after="80"/>
        <w:ind w:left="737"/>
      </w:pPr>
      <w:r>
        <w:rPr>
          <w:rFonts w:ascii="Times New Roman" w:hAnsi="Times New Roman" w:eastAsia="바탕체"/>
          <w:sz w:val="24"/>
        </w:rPr>
        <w:t>{{ b.shareholder }}은(는) 이사 {{ b.seats }}인을 지명할 권리를 가진다.</w:t>
      </w:r>
    </w:p>
    <w:p>
      <w:r>
        <w:rPr>
          <w:rFonts w:ascii="Times New Roman" w:hAnsi="Times New Roman" w:eastAsia="바탕체"/>
          <w:sz w:val="24"/>
        </w:rPr>
        <w:t>{%p endfor %}</w:t>
      </w:r>
    </w:p>
    <w:p>
      <w:pPr>
        <w:pStyle w:val="Heading1"/>
        <w:spacing w:before="240" w:after="120"/>
      </w:pPr>
      <w:r>
        <w:rPr>
          <w:rFonts w:ascii="Times New Roman" w:hAnsi="Times New Roman" w:eastAsia="바탕체"/>
          <w:b/>
          <w:sz w:val="24"/>
        </w:rPr>
        <w:t>제3조 (우선매수권 (Right of First Refusal))</w:t>
      </w:r>
    </w:p>
    <w:p>
      <w:r>
        <w:rPr>
          <w:rFonts w:ascii="Times New Roman" w:hAnsi="Times New Roman" w:eastAsia="바탕체"/>
          <w:sz w:val="24"/>
        </w:rPr>
        <w:t>{%p if rofr_included %}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주주가 그 보유주식의 전부 또는 일부를 제3자에게 양도(담보 설정 포함)하고자 하는 경우, 다른 주주는 당해 양도 예정 주식에 대하여 우선적으로 매수할 권리를 가진다.</w:t>
      </w:r>
    </w:p>
    <w:p>
      <w:r>
        <w:rPr>
          <w:rFonts w:ascii="Times New Roman" w:hAnsi="Times New Roman" w:eastAsia="바탕체"/>
          <w:sz w:val="24"/>
        </w:rPr>
        <w:t>{%p else %}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본 계약에서 우선매수권은 적용하지 아니한다.</w:t>
      </w:r>
    </w:p>
    <w:p>
      <w:r>
        <w:rPr>
          <w:rFonts w:ascii="Times New Roman" w:hAnsi="Times New Roman" w:eastAsia="바탕체"/>
          <w:sz w:val="24"/>
        </w:rPr>
        <w:t>{%p endif %}</w:t>
      </w:r>
    </w:p>
    <w:p>
      <w:pPr>
        <w:pStyle w:val="Heading1"/>
        <w:spacing w:before="240" w:after="120"/>
      </w:pPr>
      <w:r>
        <w:rPr>
          <w:rFonts w:ascii="Times New Roman" w:hAnsi="Times New Roman" w:eastAsia="바탕체"/>
          <w:b/>
          <w:sz w:val="24"/>
        </w:rPr>
        <w:t>제4조 (동반매각권 (Drag-Along Right))</w:t>
      </w:r>
    </w:p>
    <w:p>
      <w:r>
        <w:rPr>
          <w:rFonts w:ascii="Times New Roman" w:hAnsi="Times New Roman" w:eastAsia="바탕체"/>
          <w:sz w:val="24"/>
        </w:rPr>
        <w:t>{%p if drag_along_included %}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지배주주가 제3자에게 대상회사 발행주식의 과반수 이상을 매각하고자 하는 경우, 지배주주는 다른 주주들로 하여금 동일한 조건으로 그 보유주식을 함께 매각하도록 요구할 수 있다.</w:t>
      </w:r>
    </w:p>
    <w:p>
      <w:r>
        <w:rPr>
          <w:rFonts w:ascii="Times New Roman" w:hAnsi="Times New Roman" w:eastAsia="바탕체"/>
          <w:sz w:val="24"/>
        </w:rPr>
        <w:t>{%p else %}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본 계약에서 동반매각권은 적용하지 아니한다.</w:t>
      </w:r>
    </w:p>
    <w:p>
      <w:r>
        <w:rPr>
          <w:rFonts w:ascii="Times New Roman" w:hAnsi="Times New Roman" w:eastAsia="바탕체"/>
          <w:sz w:val="24"/>
        </w:rPr>
        <w:t>{%p endif %}</w:t>
      </w:r>
    </w:p>
    <w:p>
      <w:pPr>
        <w:pStyle w:val="Heading1"/>
        <w:spacing w:before="240" w:after="120"/>
      </w:pPr>
      <w:r>
        <w:rPr>
          <w:rFonts w:ascii="Times New Roman" w:hAnsi="Times New Roman" w:eastAsia="바탕체"/>
          <w:b/>
          <w:sz w:val="24"/>
        </w:rPr>
        <w:t>제5조 (동반참여권 (Tag-Along Right))</w:t>
      </w:r>
    </w:p>
    <w:p>
      <w:r>
        <w:rPr>
          <w:rFonts w:ascii="Times New Roman" w:hAnsi="Times New Roman" w:eastAsia="바탕체"/>
          <w:sz w:val="24"/>
        </w:rPr>
        <w:t>{%p if tag_along_included %}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지배주주가 제3자에게 그 보유주식의 전부 또는 일부를 매각하고자 하는 경우, 다른 주주는 동일한 조건으로 자신의 보유주식을 함께 매각할 권리를 가진다.</w:t>
      </w:r>
    </w:p>
    <w:p>
      <w:r>
        <w:rPr>
          <w:rFonts w:ascii="Times New Roman" w:hAnsi="Times New Roman" w:eastAsia="바탕체"/>
          <w:sz w:val="24"/>
        </w:rPr>
        <w:t>{%p else %}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본 계약에서 동반참여권은 적용하지 아니한다.</w:t>
      </w:r>
    </w:p>
    <w:p>
      <w:r>
        <w:rPr>
          <w:rFonts w:ascii="Times New Roman" w:hAnsi="Times New Roman" w:eastAsia="바탕체"/>
          <w:sz w:val="24"/>
        </w:rPr>
        <w:t>{%p endif %}</w:t>
      </w:r>
    </w:p>
    <w:p>
      <w:pPr>
        <w:pStyle w:val="Heading1"/>
        <w:spacing w:before="240" w:after="120"/>
      </w:pPr>
      <w:r>
        <w:rPr>
          <w:rFonts w:ascii="Times New Roman" w:hAnsi="Times New Roman" w:eastAsia="바탕체"/>
          <w:b/>
          <w:sz w:val="24"/>
        </w:rPr>
        <w:t>제6조 (주식 처분 제한 (Lock-up))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각 주주는 본 계약 체결일로부터 {{ lock_up_months }}개월이 경과하는 날까지 다른 당사자의 사전 서면 동의 없이 그 보유주식 또는 그 일부를 제3자에게 양도하거나 담보권을 설정하여서는 아니 된다.</w:t>
      </w:r>
    </w:p>
    <w:p>
      <w:pPr>
        <w:pStyle w:val="Heading1"/>
        <w:spacing w:before="240" w:after="120"/>
      </w:pPr>
      <w:r>
        <w:rPr>
          <w:rFonts w:ascii="Times New Roman" w:hAnsi="Times New Roman" w:eastAsia="바탕체"/>
          <w:b/>
          <w:sz w:val="24"/>
        </w:rPr>
        <w:t>제7조 (경업금지 및 비밀유지)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각 주주는 본 계약 종료 후 {{ non_compete_months }}개월 동안 대상회사와 동일하거나 유사한 사업을 직접 또는 제3자를 통해 영위하여서는 아니 된다.</w:t>
      </w:r>
    </w:p>
    <w:p>
      <w:pPr>
        <w:pStyle w:val="Heading1"/>
        <w:spacing w:before="240" w:after="120"/>
      </w:pPr>
      <w:r>
        <w:rPr>
          <w:rFonts w:ascii="Times New Roman" w:hAnsi="Times New Roman" w:eastAsia="바탕체"/>
          <w:b/>
          <w:sz w:val="24"/>
        </w:rPr>
        <w:t>제8조 (준거법 및 관할)</w:t>
      </w:r>
    </w:p>
    <w:p>
      <w:pPr>
        <w:spacing w:after="80"/>
      </w:pPr>
      <w:r>
        <w:rPr>
          <w:rFonts w:ascii="Times New Roman" w:hAnsi="Times New Roman" w:eastAsia="바탕체"/>
          <w:sz w:val="24"/>
        </w:rPr>
        <w:t>본 계약은 {{ governing_law }} 법에 따라 해석되며, 본 계약으로부터 발생하는 분쟁은 서울중앙지방법원을 제1심 전속 관할법원으로 한다.</w:t>
      </w:r>
    </w:p>
    <w:p>
      <w:pPr>
        <w:spacing w:before="400" w:after="200"/>
        <w:jc w:val="center"/>
      </w:pPr>
      <w:r>
        <w:rPr>
          <w:rFonts w:ascii="Times New Roman" w:hAnsi="Times New Roman" w:eastAsia="바탕체"/>
          <w:sz w:val="24"/>
        </w:rPr>
        <w:t>{{ signing_date }}</w:t>
      </w:r>
    </w:p>
    <w:p/>
    <w:p>
      <w:r>
        <w:rPr>
          <w:rFonts w:ascii="Times New Roman" w:hAnsi="Times New Roman" w:eastAsia="바탕체"/>
          <w:b/>
          <w:sz w:val="24"/>
        </w:rPr>
        <w:t>【 주주 서명란 】</w:t>
      </w:r>
    </w:p>
    <w:p>
      <w:r>
        <w:rPr>
          <w:rFonts w:ascii="Times New Roman" w:hAnsi="Times New Roman" w:eastAsia="바탕체"/>
          <w:sz w:val="24"/>
        </w:rPr>
        <w:t>{%p for s in shareholders %}</w:t>
      </w:r>
    </w:p>
    <w:p>
      <w:pPr>
        <w:spacing w:after="80"/>
        <w:ind w:left="737"/>
      </w:pPr>
      <w:r>
        <w:rPr>
          <w:rFonts w:ascii="Times New Roman" w:hAnsi="Times New Roman" w:eastAsia="바탕체"/>
          <w:sz w:val="24"/>
        </w:rPr>
        <w:t>주주: {{ s.name }}   보유주식: {{ s.shares }}주   지분율: {{ s.pct }}%</w:t>
      </w:r>
    </w:p>
    <w:p>
      <w:r>
        <w:rPr>
          <w:rFonts w:ascii="Times New Roman" w:hAnsi="Times New Roman" w:eastAsia="바탕체"/>
          <w:sz w:val="24"/>
        </w:rPr>
        <w:t>{%p endfor %}</w:t>
      </w:r>
    </w:p>
    <w:sectPr w:rsidR="00FC693F" w:rsidRPr="0006063C" w:rsidSect="00034616">
      <w:pgSz w:w="11906" w:h="16838"/>
      <w:pgMar w:top="1701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