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Times New Roman" w:hAnsi="Times New Roman" w:eastAsia="바탕체"/>
          <w:b/>
          <w:sz w:val="32"/>
        </w:rPr>
        <w:t>{{ title }}</w:t>
      </w:r>
    </w:p>
    <w:p>
      <w:pPr>
        <w:spacing w:after="120"/>
        <w:jc w:val="center"/>
      </w:pPr>
      <w:r>
        <w:rPr>
          <w:rFonts w:ascii="Times New Roman" w:hAnsi="Times New Roman" w:eastAsia="바탕체"/>
          <w:sz w:val="22"/>
        </w:rPr>
        <w:t>Legal Due Diligence Report</w:t>
      </w:r>
    </w:p>
    <w:p/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대상회사:  {{ target_company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실사기간:  {{ dd_period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보고서유형: 정식 법률실사보고서 (서술형)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법무법인:  {{ law_firm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담당변호사: {{ prepared_by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작성일:    {{ report_date }}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I. 실사 결과 요약 (Executive Summary)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1. 이슈 현황 개요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법률실사 결과 도출된 이슈 현황은 아래와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구분</w:t>
            </w:r>
          </w:p>
        </w:tc>
        <w:tc>
          <w:tcPr>
            <w:tcW w:type="dxa" w:w="1805"/>
            <w:shd w:val="clear" w:color="auto" w:fill="FF00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Critical (Red)</w:t>
            </w:r>
          </w:p>
        </w:tc>
        <w:tc>
          <w:tcPr>
            <w:tcW w:type="dxa" w:w="1805"/>
            <w:shd w:val="clear" w:color="auto" w:fill="FF99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High/Medium (Amber)</w:t>
            </w:r>
          </w:p>
        </w:tc>
        <w:tc>
          <w:tcPr>
            <w:tcW w:type="dxa" w:w="1805"/>
            <w:shd w:val="clear" w:color="auto" w:fill="70AD47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Low (Green)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합계</w:t>
            </w:r>
          </w:p>
        </w:tc>
      </w:tr>
      <w:tr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건수</w:t>
            </w:r>
          </w:p>
        </w:tc>
        <w:tc>
          <w:tcPr>
            <w:tcW w:type="dxa" w:w="1805"/>
            <w:shd w:val="clear" w:color="auto"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red_count }}</w:t>
            </w:r>
          </w:p>
        </w:tc>
        <w:tc>
          <w:tcPr>
            <w:tcW w:type="dxa" w:w="1805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amber_count }}</w:t>
            </w:r>
          </w:p>
        </w:tc>
        <w:tc>
          <w:tcPr>
            <w:tcW w:type="dxa" w:w="1805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green_count }}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issue_count }}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2. 주요 발견사항 요약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※ 아래는 주요 이슈 항목 요약입니다. 상세 서술 분석은 섹션별 보고를 참조하십시오.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II. 섹션별 분석</w:t>
      </w:r>
    </w:p>
    <w:p>
      <w:r>
        <w:rPr>
          <w:rFonts w:ascii="Times New Roman" w:hAnsi="Times New Roman" w:eastAsia="바탕체"/>
          <w:sz w:val="24"/>
        </w:rPr>
        <w:t>{%p for section in narrative_items %}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{{ section.section_title }}</w:t>
      </w:r>
    </w:p>
    <w:p>
      <w:r>
        <w:rPr>
          <w:rFonts w:ascii="Times New Roman" w:hAnsi="Times New Roman" w:eastAsia="바탕체"/>
          <w:sz w:val="24"/>
        </w:rPr>
        <w:t>{%p for item in section.items %}</w:t>
      </w:r>
    </w:p>
    <w:p>
      <w:pPr>
        <w:spacing w:before="200" w:after="80"/>
      </w:pPr>
      <w:r>
        <w:rPr>
          <w:rFonts w:ascii="Times New Roman" w:hAnsi="Times New Roman" w:eastAsia="바탕체"/>
          <w:b/>
          <w:sz w:val="24"/>
        </w:rPr>
        <w:t>{{ item.item_id }}. {{ item.item_name }}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[상태: {{ item.status }}{% if item.issue_level %} / {{ item.issue_level }}{% endif %}]</w:t>
      </w:r>
    </w:p>
    <w:p>
      <w:r>
        <w:rPr>
          <w:rFonts w:ascii="Times New Roman" w:hAnsi="Times New Roman" w:eastAsia="바탕체"/>
          <w:sz w:val="24"/>
        </w:rPr>
        <w:t>{%p for block in item.blocks %}</w:t>
      </w:r>
    </w:p>
    <w:p>
      <w:pPr>
        <w:spacing w:before="120"/>
      </w:pPr>
      <w:r>
        <w:rPr>
          <w:rFonts w:ascii="Times New Roman" w:hAnsi="Times New Roman" w:eastAsia="바탕체"/>
          <w:b/>
          <w:sz w:val="22"/>
        </w:rPr>
        <w:t>{{ block.title }}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{{ block.content }}</w:t>
      </w:r>
    </w:p>
    <w:p>
      <w:r>
        <w:rPr>
          <w:rFonts w:ascii="Times New Roman" w:hAnsi="Times New Roman" w:eastAsia="바탕체"/>
          <w:sz w:val="24"/>
        </w:rPr>
        <w:t>{%p endfor %}</w:t>
      </w:r>
    </w:p>
    <w:p/>
    <w:p>
      <w:r>
        <w:rPr>
          <w:rFonts w:ascii="Times New Roman" w:hAnsi="Times New Roman" w:eastAsia="바탕체"/>
          <w:sz w:val="24"/>
        </w:rPr>
        <w:t>{%p endfor %}</w:t>
      </w:r>
    </w:p>
    <w:p>
      <w:r>
        <w:rPr>
          <w:rFonts w:ascii="Times New Roman" w:hAnsi="Times New Roman" w:eastAsia="바탕체"/>
          <w:sz w:val="24"/>
        </w:rPr>
        <w:t>{%p endfor %}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III. 이슈 목록 요약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※ ISSUE로 분류된 항목의 종합 목록입니다.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섹션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항목명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이슈등급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발견사항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거래영향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RFI 번호</w:t>
            </w:r>
          </w:p>
        </w:tc>
      </w:tr>
      <w:tr>
        <w:tc>
          <w:tcPr>
            <w:tcW w:type="dxa" w:w="1504"/>
          </w:tcPr>
          <w:p>
            <w:r/>
            <w:r>
              <w:t>{%tr for issue in all_issues %}</w:t>
            </w:r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issue.section_title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issue.name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issue.issue_level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issue.description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issue.deal_impact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issue.rfi_number if issue.rfi_required else '' }}</w:t>
            </w:r>
          </w:p>
        </w:tc>
      </w:tr>
      <w:tr>
        <w:tc>
          <w:tcPr>
            <w:tcW w:type="dxa" w:w="1504"/>
          </w:tcPr>
          <w:p>
            <w:r/>
            <w:r>
              <w:t>{%tr endfor %}</w:t>
            </w:r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</w:tr>
    </w:tbl>
    <w:p/>
    <w:p>
      <w:pPr>
        <w:spacing w:after="80"/>
      </w:pPr>
      <w:r>
        <w:rPr>
          <w:rFonts w:ascii="Times New Roman" w:hAnsi="Times New Roman" w:eastAsia="바탕체"/>
          <w:sz w:val="24"/>
        </w:rPr>
        <w:t>— 이 상 —</w:t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