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Times New Roman" w:hAnsi="Times New Roman" w:eastAsia="바탕체"/>
          <w:b/>
          <w:sz w:val="32"/>
        </w:rPr>
        <w:t>{{ title }}</w:t>
      </w:r>
    </w:p>
    <w:p>
      <w:pPr>
        <w:spacing w:after="120"/>
        <w:jc w:val="center"/>
      </w:pPr>
      <w:r>
        <w:rPr>
          <w:rFonts w:ascii="Times New Roman" w:hAnsi="Times New Roman" w:eastAsia="바탕체"/>
          <w:sz w:val="22"/>
        </w:rPr>
        <w:t>Redflag Due Diligence Report (서술형)</w:t>
      </w:r>
    </w:p>
    <w:p/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대상회사:  {{ target_company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실사기간:  {{ dd_period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보고서유형: Redflag DD (Red/Amber 이슈 서술 분석)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법무법인:  {{ law_firm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담당변호사: {{ prepared_by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작성일:    {{ report_date }}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I. Executive Summary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Redflag DD는 대상회사 {{ target_company }}에 대한 법률실사에서 Red(Critical) 및 Amber(High/Medium) 등급 이슈를 중심으로 심층 서술 분석을 제공한다.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FF00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Critical (Red)</w:t>
            </w:r>
          </w:p>
        </w:tc>
        <w:tc>
          <w:tcPr>
            <w:tcW w:type="dxa" w:w="2256"/>
            <w:shd w:val="clear" w:color="auto" w:fill="FF99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High/Medium (Amber)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Low (Green)</w:t>
            </w:r>
          </w:p>
        </w:tc>
        <w:tc>
          <w:tcPr>
            <w:tcW w:type="dxa" w:w="22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합계</w:t>
            </w:r>
          </w:p>
        </w:tc>
      </w:tr>
      <w:tr>
        <w:tc>
          <w:tcPr>
            <w:tcW w:type="dxa" w:w="2256"/>
            <w:shd w:val="clear" w:color="auto"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red_count }}</w:t>
            </w:r>
          </w:p>
        </w:tc>
        <w:tc>
          <w:tcPr>
            <w:tcW w:type="dxa" w:w="2256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amber_count }}</w:t>
            </w:r>
          </w:p>
        </w:tc>
        <w:tc>
          <w:tcPr>
            <w:tcW w:type="dxa" w:w="2256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green_count }}</w:t>
            </w:r>
          </w:p>
        </w:tc>
        <w:tc>
          <w:tcPr>
            <w:tcW w:type="dxa" w:w="22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issue_count }}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II. 상세 Findings (서술 분석)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※ Green(Low) 이슈, OK, N/A 항목은 본 보고서에서 제외합니다.</w:t>
      </w:r>
    </w:p>
    <w:p/>
    <w:p>
      <w:r>
        <w:rPr>
          <w:rFonts w:ascii="Times New Roman" w:hAnsi="Times New Roman" w:eastAsia="바탕체"/>
          <w:sz w:val="24"/>
        </w:rPr>
        <w:t>{%p for section in narrative_items %}</w:t>
      </w:r>
    </w:p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{{ section.section_title }}</w:t>
      </w:r>
    </w:p>
    <w:p>
      <w:r>
        <w:rPr>
          <w:rFonts w:ascii="Times New Roman" w:hAnsi="Times New Roman" w:eastAsia="바탕체"/>
          <w:sz w:val="24"/>
        </w:rPr>
        <w:t>{%p for item in section.items %}</w:t>
      </w:r>
    </w:p>
    <w:p>
      <w:pPr>
        <w:spacing w:before="200"/>
      </w:pPr>
      <w:r>
        <w:rPr>
          <w:rFonts w:ascii="Times New Roman" w:hAnsi="Times New Roman" w:eastAsia="바탕체"/>
          <w:b/>
          <w:sz w:val="24"/>
        </w:rPr>
        <w:t>{{ item.item_id }}. {{ item.item_name }}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[{{ item.status }} / {{ item.issue_level }}]</w:t>
      </w:r>
    </w:p>
    <w:p>
      <w:r>
        <w:rPr>
          <w:rFonts w:ascii="Times New Roman" w:hAnsi="Times New Roman" w:eastAsia="바탕체"/>
          <w:sz w:val="24"/>
        </w:rPr>
        <w:t>{%p for block in item.blocks %}</w:t>
      </w:r>
    </w:p>
    <w:p>
      <w:pPr>
        <w:spacing w:before="120"/>
      </w:pPr>
      <w:r>
        <w:rPr>
          <w:rFonts w:ascii="Times New Roman" w:hAnsi="Times New Roman" w:eastAsia="바탕체"/>
          <w:b/>
          <w:sz w:val="22"/>
        </w:rPr>
        <w:t>{{ block.title }}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{{ block.content }}</w:t>
      </w:r>
    </w:p>
    <w:p>
      <w:r>
        <w:rPr>
          <w:rFonts w:ascii="Times New Roman" w:hAnsi="Times New Roman" w:eastAsia="바탕체"/>
          <w:sz w:val="24"/>
        </w:rPr>
        <w:t>{%p endfor %}</w:t>
      </w:r>
    </w:p>
    <w:p/>
    <w:p>
      <w:r>
        <w:rPr>
          <w:rFonts w:ascii="Times New Roman" w:hAnsi="Times New Roman" w:eastAsia="바탕체"/>
          <w:sz w:val="24"/>
        </w:rPr>
        <w:t>{%p endfor %}</w:t>
      </w:r>
    </w:p>
    <w:p>
      <w:r>
        <w:rPr>
          <w:rFonts w:ascii="Times New Roman" w:hAnsi="Times New Roman" w:eastAsia="바탕체"/>
          <w:sz w:val="24"/>
        </w:rPr>
        <w:t>{%p endfor %}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— 이 상 —</w:t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