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240"/>
        <w:jc w:val="center"/>
      </w:pPr>
      <w:r>
        <w:rPr>
          <w:rFonts w:ascii="Times New Roman" w:hAnsi="Times New Roman" w:eastAsia="바탕체"/>
          <w:b/>
          <w:sz w:val="32"/>
        </w:rPr>
        <w:t>{{ title }}</w:t>
      </w:r>
    </w:p>
    <w:p>
      <w:pPr>
        <w:spacing w:after="120"/>
        <w:jc w:val="center"/>
      </w:pPr>
      <w:r>
        <w:rPr>
          <w:rFonts w:ascii="Times New Roman" w:hAnsi="Times New Roman" w:eastAsia="바탕체"/>
          <w:sz w:val="22"/>
        </w:rPr>
        <w:t>Redflag Due Diligence Report</w:t>
      </w:r>
    </w:p>
    <w:p/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대상회사:  {{ target_company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실사기간:  {{ dd_period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보고서유형: Redflag DD (Red/Amber 이슈 중심)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법무법인:  {{ law_firm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담당변호사: {{ prepared_by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작성일:    {{ report_date }}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바탕체"/>
          <w:b/>
          <w:sz w:val="28"/>
        </w:rPr>
        <w:t>I. Executive Summary</w:t>
      </w:r>
    </w:p>
    <w:p>
      <w:pPr>
        <w:pStyle w:val="Heading2"/>
        <w:spacing w:before="200" w:after="120"/>
      </w:pPr>
      <w:r>
        <w:rPr>
          <w:rFonts w:ascii="Times New Roman" w:hAnsi="Times New Roman" w:eastAsia="바탕체"/>
          <w:b/>
          <w:sz w:val="24"/>
        </w:rPr>
        <w:t>Overall Assessment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Redflag DD는 대상회사 {{ target_company }}에 대한 법률실사에서 Red(Critical) 및 Amber(High/Medium) 등급 이슈를 중심으로 거래에 미치는 영향과 주요 권고사항을 기술한다.</w:t>
      </w:r>
    </w:p>
    <w:p/>
    <w:p>
      <w:pPr>
        <w:spacing w:after="80"/>
      </w:pPr>
      <w:r>
        <w:rPr>
          <w:rFonts w:ascii="Times New Roman" w:hAnsi="Times New Roman" w:eastAsia="바탕체"/>
          <w:sz w:val="24"/>
        </w:rPr>
        <w:t>이슈 현황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FF0000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Critical (Red)</w:t>
            </w:r>
          </w:p>
        </w:tc>
        <w:tc>
          <w:tcPr>
            <w:tcW w:type="dxa" w:w="2256"/>
            <w:shd w:val="clear" w:color="auto" w:fill="FF9900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High/Medium (Amber)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Low (Green)</w:t>
            </w:r>
          </w:p>
        </w:tc>
        <w:tc>
          <w:tcPr>
            <w:tcW w:type="dxa" w:w="2256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합계</w:t>
            </w:r>
          </w:p>
        </w:tc>
      </w:tr>
      <w:tr>
        <w:tc>
          <w:tcPr>
            <w:tcW w:type="dxa" w:w="2256"/>
            <w:shd w:val="clear" w:color="auto" w:fill="FCE4D6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red_count }}</w:t>
            </w:r>
          </w:p>
        </w:tc>
        <w:tc>
          <w:tcPr>
            <w:tcW w:type="dxa" w:w="2256"/>
            <w:shd w:val="clear" w:color="auto" w:fill="FFF2CC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amber_count }}</w:t>
            </w:r>
          </w:p>
        </w:tc>
        <w:tc>
          <w:tcPr>
            <w:tcW w:type="dxa" w:w="2256"/>
            <w:shd w:val="clear" w:color="auto" w:fill="E2EFDA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green_count }}</w:t>
            </w:r>
          </w:p>
        </w:tc>
        <w:tc>
          <w:tcPr>
            <w:tcW w:type="dxa" w:w="2256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issue_count }}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Times New Roman" w:hAnsi="Times New Roman" w:eastAsia="바탕체"/>
          <w:b/>
          <w:sz w:val="24"/>
        </w:rPr>
        <w:t>Key Recommendations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1. Critical(Red) 이슈에 대해 거래 진행 전 해소 방안 확인 필요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2. Amber 이슈는 진술보장 조항 또는 거래가격 조정에 반영 권고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3. RFI 요청 항목({{ rfi_count }}건)에 대한 추가 자료 수령 필요</w:t>
      </w:r>
    </w:p>
    <w:p/>
    <w:p>
      <w:pPr>
        <w:pStyle w:val="Heading2"/>
        <w:spacing w:before="200" w:after="120"/>
      </w:pPr>
      <w:r>
        <w:rPr>
          <w:rFonts w:ascii="Times New Roman" w:hAnsi="Times New Roman" w:eastAsia="바탕체"/>
          <w:b/>
          <w:sz w:val="24"/>
        </w:rPr>
        <w:t>Red Flags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섹션</w:t>
            </w:r>
          </w:p>
        </w:tc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항목명</w:t>
            </w:r>
          </w:p>
        </w:tc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위험도</w:t>
            </w:r>
          </w:p>
        </w:tc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발견사항</w:t>
            </w:r>
          </w:p>
        </w:tc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거래영향</w:t>
            </w:r>
          </w:p>
        </w:tc>
      </w:tr>
      <w:tr>
        <w:tc>
          <w:tcPr>
            <w:tcW w:type="dxa" w:w="1805"/>
          </w:tcPr>
          <w:p>
            <w:r/>
            <w:r>
              <w:t>{%tr for issue in red_issues %}</w:t>
            </w:r>
          </w:p>
        </w:tc>
        <w:tc>
          <w:tcPr>
            <w:tcW w:type="dxa" w:w="1805"/>
          </w:tcPr>
          <w:p>
            <w:r/>
          </w:p>
        </w:tc>
        <w:tc>
          <w:tcPr>
            <w:tcW w:type="dxa" w:w="1805"/>
          </w:tcPr>
          <w:p>
            <w:r/>
          </w:p>
        </w:tc>
        <w:tc>
          <w:tcPr>
            <w:tcW w:type="dxa" w:w="1805"/>
          </w:tcPr>
          <w:p>
            <w:r/>
          </w:p>
        </w:tc>
        <w:tc>
          <w:tcPr>
            <w:tcW w:type="dxa" w:w="1805"/>
          </w:tcPr>
          <w:p>
            <w:r/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issue.section_title }}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issue.name }}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issue.issue_level }} ({{ issue.risk_color }})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issue.description }}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issue.deal_impact }}</w:t>
            </w:r>
          </w:p>
        </w:tc>
      </w:tr>
      <w:tr>
        <w:tc>
          <w:tcPr>
            <w:tcW w:type="dxa" w:w="1805"/>
          </w:tcPr>
          <w:p>
            <w:r/>
            <w:r>
              <w:t>{%tr endfor %}</w:t>
            </w:r>
          </w:p>
        </w:tc>
        <w:tc>
          <w:tcPr>
            <w:tcW w:type="dxa" w:w="1805"/>
          </w:tcPr>
          <w:p>
            <w:r/>
          </w:p>
        </w:tc>
        <w:tc>
          <w:tcPr>
            <w:tcW w:type="dxa" w:w="1805"/>
          </w:tcPr>
          <w:p>
            <w:r/>
          </w:p>
        </w:tc>
        <w:tc>
          <w:tcPr>
            <w:tcW w:type="dxa" w:w="1805"/>
          </w:tcPr>
          <w:p>
            <w:r/>
          </w:p>
        </w:tc>
        <w:tc>
          <w:tcPr>
            <w:tcW w:type="dxa" w:w="1805"/>
          </w:tcPr>
          <w:p>
            <w:r/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바탕체"/>
          <w:b/>
          <w:sz w:val="28"/>
        </w:rPr>
        <w:t>II. 상세 Findings (Red/Amber 이슈)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※ Green(Low) 이슈 및 OK/N/A 항목은 본 보고서에서 제외합니다.</w:t>
      </w:r>
    </w:p>
    <w:p/>
    <w:p>
      <w:r>
        <w:rPr>
          <w:rFonts w:ascii="Times New Roman" w:hAnsi="Times New Roman" w:eastAsia="바탕체"/>
          <w:sz w:val="24"/>
        </w:rPr>
        <w:t>{%p for section in sections_with_issues %}</w:t>
      </w:r>
    </w:p>
    <w:p>
      <w:pPr>
        <w:pStyle w:val="Heading2"/>
        <w:spacing w:before="200" w:after="120"/>
      </w:pPr>
      <w:r>
        <w:rPr>
          <w:rFonts w:ascii="Times New Roman" w:hAnsi="Times New Roman" w:eastAsia="바탕체"/>
          <w:b/>
          <w:sz w:val="24"/>
        </w:rPr>
        <w:t>{{ section.title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항목명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이슈등급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발견사항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거래영향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권고사항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RFI</w:t>
            </w:r>
          </w:p>
        </w:tc>
      </w:tr>
      <w:tr>
        <w:tc>
          <w:tcPr>
            <w:tcW w:type="dxa" w:w="1504"/>
          </w:tcPr>
          <w:p>
            <w:r/>
            <w:r>
              <w:t>{%tr for item in section.issues %}</w:t>
            </w:r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</w:tr>
      <w:tr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item.name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item.issue_level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item.description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item.deal_impact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item.recommendation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item.rfi_number if item.rfi_required else '' }}</w:t>
            </w:r>
          </w:p>
        </w:tc>
      </w:tr>
      <w:tr>
        <w:tc>
          <w:tcPr>
            <w:tcW w:type="dxa" w:w="1504"/>
          </w:tcPr>
          <w:p>
            <w:r/>
            <w:r>
              <w:t>{%tr endfor %}</w:t>
            </w:r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</w:tr>
    </w:tbl>
    <w:p/>
    <w:p>
      <w:r>
        <w:rPr>
          <w:rFonts w:ascii="Times New Roman" w:hAnsi="Times New Roman" w:eastAsia="바탕체"/>
          <w:sz w:val="24"/>
        </w:rPr>
        <w:t>{%p endfor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— 이 상 —</w:t>
      </w:r>
    </w:p>
    <w:sectPr w:rsidR="00FC693F" w:rsidRPr="0006063C" w:rsidSect="00034616">
      <w:pgSz w:w="11906" w:h="16838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