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b/>
          <w:bCs/>
          <w:sz w:val="48"/>
          <w:szCs w:val="48"/>
        </w:rPr>
        <w:t xml:space="preserve">Informe de pruebas y de seguridad</w:t>
      </w:r>
    </w:p>
    <w:p>
      <w:pPr>
        <w:spacing w:after="1600"/>
        <w:jc w:val="center"/>
      </w:pPr>
      <w:r>
        <w:rPr>
          <w:sz w:val="30"/>
          <w:szCs w:val="30"/>
        </w:rPr>
        <w:t xml:space="preserve">Sitio web y formulario de presupuesto de Rodríguez de Mello Sistemas</w:t>
      </w:r>
    </w:p>
    <w:p>
      <w:pPr>
        <w:spacing w:after="120"/>
        <w:jc w:val="center"/>
      </w:pPr>
      <w:r>
        <w:rPr>
          <w:sz w:val="26"/>
          <w:szCs w:val="26"/>
        </w:rPr>
        <w:t xml:space="preserve">Gonzalo Daniel Rodríguez de Mello</w:t>
      </w:r>
    </w:p>
    <w:p>
      <w:pPr>
        <w:spacing w:after="120"/>
        <w:jc w:val="center"/>
      </w:pPr>
      <w:r>
        <w:rPr>
          <w:sz w:val="24"/>
          <w:szCs w:val="24"/>
        </w:rPr>
        <w:t xml:space="preserve">Rivera, Uruguay</w:t>
      </w:r>
    </w:p>
    <w:p>
      <w:pPr>
        <w:jc w:val="center"/>
      </w:pPr>
      <w:r>
        <w:rPr>
          <w:sz w:val="24"/>
          <w:szCs w:val="24"/>
        </w:rPr>
        <w:t xml:space="preserve">17 de octubre de 2026</w:t>
      </w:r>
    </w:p>
    <w:p>
      <w:r>
        <w:br w:type="page"/>
      </w:r>
    </w:p>
    <w:p>
      <w:pPr>
        <w:pStyle w:val="Heading1"/>
      </w:pPr>
      <w:r>
        <w:t xml:space="preserve">1. Alcance</w:t>
      </w:r>
    </w:p>
    <w:p>
      <w:pPr>
        <w:spacing w:after="160" w:line="300"/>
        <w:jc w:val="both"/>
      </w:pPr>
      <w:r>
        <w:t xml:space="preserve">Este informe documenta las pruebas aplicadas al sitio profesional de Rodríguez de Mello Sistemas y al receptor de su formulario de presupuesto, antes de la primera publicación. El sitio es estático, se publica en GitHub Pages y está en español, portugués e inglés. El formulario envía cada pedido a una aplicación web de Google Apps Script que valida los datos, limita el abuso, asigna un número de seguimiento, calcula la prioridad, guarda el pedido en una planilla de Google y envía los avisos por correo y, de forma opcional, por Telegram.</w:t>
      </w:r>
    </w:p>
    <w:p>
      <w:pPr>
        <w:spacing w:after="160" w:line="300"/>
        <w:jc w:val="both"/>
      </w:pPr>
      <w:r>
        <w:t xml:space="preserve">Quedaron dentro del alcance el HTML, la hoja de estilos y los seis archivos de JavaScript del sitio, el archivo Code.gs con su manifiesto, los archivos de soporte publicados (404, security.txt, robots, sitemap y manifiesto web) y la interacción completa entre el navegador y el receptor. La infraestructura de GitHub y de Google queda fuera del alcance, salvo en lo que condiciona la configuración del sitio.</w:t>
      </w:r>
    </w:p>
    <w:p>
      <w:pPr>
        <w:pStyle w:val="Heading1"/>
      </w:pPr>
      <w:r>
        <w:t xml:space="preserve">2. Metodología</w:t>
      </w:r>
    </w:p>
    <w:p>
      <w:pPr>
        <w:pStyle w:val="Heading2"/>
      </w:pPr>
      <w:r>
        <w:t xml:space="preserve">2.1 Entorno</w:t>
      </w:r>
    </w:p>
    <w:p>
      <w:pPr>
        <w:spacing w:after="160" w:line="300"/>
        <w:jc w:val="both"/>
      </w:pPr>
      <w:r>
        <w:t xml:space="preserve">Todas las pruebas son automáticas y se pueden repetir con un solo comando. Se ejecutan en Node 22 con su corredor de pruebas nativo y en Chromium mediante Playwright. Para probar Code.gs sin depender de Google se construyó un entorno que reproduce los servicios de Apps Script que usa el script (planilla, caché, candado, propiedades, correo, peticiones externas, firmas HMAC y fechas con zona horaria de Montevideo). Las pruebas de integración usan ese mismo entorno detrás del navegador real: el formulario hace su petición HTTP, la petición se entrega a Code.gs y la respuesta vuelve a la página, de modo que se ejercita el recorrido completo.</w:t>
      </w:r>
    </w:p>
    <w:p>
      <w:pPr>
        <w:pStyle w:val="Heading2"/>
      </w:pPr>
      <w:r>
        <w:t xml:space="preserve">2.2 Pruebas unitarias y de caja blanca</w:t>
      </w:r>
    </w:p>
    <w:p>
      <w:pPr>
        <w:spacing w:after="160" w:line="300"/>
        <w:jc w:val="both"/>
      </w:pPr>
      <w:r>
        <w:t xml:space="preserve">Se probaron por separado las funciones puras del navegador (elección de idioma, traducción con respaldo, limpieza de texto, validación de correo y teléfono, validación de cada paso del formulario y armado del envío) y todas las funciones de Code.gs. Las pruebas de caja blanca se escribieron a partir del código, con el objetivo de recorrer cada rama de validación, de puntaje, de límites, de numeración, de guardado, de avisos, de configuración, de instalación y del recordatorio diario. Se midió la cobertura con la instrumentación de V8.</w:t>
      </w:r>
    </w:p>
    <w:p>
      <w:pPr>
        <w:spacing w:after="160" w:line="300"/>
        <w:jc w:val="both"/>
      </w:pPr>
      <w:r>
        <w:t xml:space="preserve">Se agregaron además pruebas de consistencia del contenido: las tres lenguas deben tener exactamente las mismas claves, cada texto de los datos debe existir en los tres idiomas, cada clave usada desde el HTML o el JavaScript debe estar definida, y las opciones que ofrece el formulario deben coincidir una por una con las que acepta el receptor. Esta última prueba evita que un cambio futuro en el sitio deje pedidos rechazados por el servidor.</w:t>
      </w:r>
    </w:p>
    <w:p>
      <w:pPr>
        <w:pStyle w:val="Heading2"/>
      </w:pPr>
      <w:r>
        <w:t xml:space="preserve">2.3 Pruebas de caja negra</w:t>
      </w:r>
    </w:p>
    <w:p>
      <w:pPr>
        <w:spacing w:after="160" w:line="300"/>
        <w:jc w:val="both"/>
      </w:pPr>
      <w:r>
        <w:t xml:space="preserve">Se usó el sitio como lo usaría una persona, sin mirar el código: carga en cada idioma según el navegador, cambio de idioma con persistencia y parámetro en la URL, tema claro y oscuro, menú móvil, filtros y detalle de proyectos, diagrama de capas del servidor con mouse y teclado, cada camino del formulario con sus errores, la revisión editable, el borrador recuperado tras recargar, el modo de vista previa sin receptor, las páginas de soporte y la ausencia de desborde horizontal en anchos de 320, 390, 768, 1024 y 1440 píxeles.</w:t>
      </w:r>
    </w:p>
    <w:p>
      <w:pPr>
        <w:pStyle w:val="Heading2"/>
      </w:pPr>
      <w:r>
        <w:t xml:space="preserve">2.4 Pruebas de integración</w:t>
      </w:r>
    </w:p>
    <w:p>
      <w:pPr>
        <w:spacing w:after="160" w:line="300"/>
        <w:jc w:val="both"/>
      </w:pPr>
      <w:r>
        <w:t xml:space="preserve">Se verificó el envío de punta a punta: número de seguimiento visible para el cliente, fila completa en la planilla, aviso al dueño y confirmación al cliente en su idioma, borrado del borrador local, petición simple sin credenciales ni preflight, token firmado incluido, mensaje claro ante el límite de envíos, comportamiento con el servidor caído, con una respuesta inválida y con un servidor lento, un solo pedido ante doble clic, el cartel de disponibilidad controlado desde la hoja Config y el tratamiento de los bots que completan el campo oculto.</w:t>
      </w:r>
    </w:p>
    <w:p>
      <w:pPr>
        <w:pStyle w:val="Heading2"/>
      </w:pPr>
      <w:r>
        <w:t xml:space="preserve">2.5 Pruebas de usabilidad y accesibilidad</w:t>
      </w:r>
    </w:p>
    <w:p>
      <w:pPr>
        <w:spacing w:after="160" w:line="300"/>
        <w:jc w:val="both"/>
      </w:pPr>
      <w:r>
        <w:t xml:space="preserve">Se ejecutó axe-core con las reglas de WCAG 2.0, 2.1 y 2.2 en nivel AA y las buenas prácticas, en tema claro y oscuro, en los tres idiomas y en escritorio y móvil, además de cada paso del formulario con errores visibles y del diálogo de proyecto. Se completó un pedido usando solo el teclado, se comprobó el enlace para saltar al contenido, el foco visible en todos los controles, el tamaño mínimo de los objetivos táctiles (WCAG 2.5.8), la jerarquía de títulos, la desactivación de animaciones con movimiento reducido, el tamaño mínimo del texto, el largo de línea de los párrafos, el peso total de la página, la ausencia de peticiones a terceros y el texto alternativo traducido de la foto.</w:t>
      </w:r>
    </w:p>
    <w:p>
      <w:pPr>
        <w:pStyle w:val="Heading2"/>
      </w:pPr>
      <w:r>
        <w:t xml:space="preserve">2.6 Pruebas de penetración</w:t>
      </w:r>
    </w:p>
    <w:p>
      <w:pPr>
        <w:spacing w:after="160" w:line="300"/>
        <w:jc w:val="both"/>
      </w:pPr>
      <w:r>
        <w:t xml:space="preserve">El pentest siguió la Guía de Pruebas de Seguridad Web de OWASP y el OWASP Top 10, y se dividió en dos frentes. En el sitio se probaron la política de seguridad de contenido y su efecto real, el XSS reflejado por la URL, el XSS almacenado mediante el almacenamiento local envenenado, el XSS por los campos del formulario, las respuestas hostiles del servidor, la inyección de selectores, el tabnabbing, el clickjacking, la privacidad del borrador local, la fuga de secretos o rutas internas y el recorrido de directorios. Además se hizo análisis estático con ESLint y los complementos de seguridad no-unsanitized y security.</w:t>
      </w:r>
    </w:p>
    <w:p>
      <w:pPr>
        <w:spacing w:after="160" w:line="300"/>
        <w:jc w:val="both"/>
      </w:pPr>
      <w:r>
        <w:t xml:space="preserve">En el receptor se probaron la confusión de tipos en todos los campos, la contaminación del prototipo, las bombas JSON, la denegación de servicio por expresiones regulares, la inyección de fórmulas en la planilla, la inyección de HTML y de cabeceras en los correos, la suplantación de contenido en la autorrespuesta, el uso del formulario para bombardear de correos a terceros, la evasión del límite con variantes de una misma dirección, el reenvío idéntico, la detectabilidad de la trampa para bots, la automatización sin token, el agotamiento de la cuota de correo, la exposición de datos por el método GET, la fuga de detalles en los errores y la integración con Telegram.</w:t>
      </w:r>
    </w:p>
    <w:p>
      <w:pPr>
        <w:pStyle w:val="Heading1"/>
      </w:pPr>
      <w:r>
        <w:t xml:space="preserve">3. Resultados</w:t>
      </w:r>
    </w:p>
    <w:p>
      <w:pPr>
        <w:pStyle w:val="Heading2"/>
      </w:pPr>
      <w:r>
        <w:t xml:space="preserve">3.1 Resumen</w:t>
      </w:r>
    </w:p>
    <w:p>
      <w:pPr>
        <w:spacing w:after="160" w:line="300"/>
        <w:jc w:val="both"/>
      </w:pPr>
      <w:r>
        <w:t xml:space="preserve">La versión entregada pasa las 120 pruebas automáticas: 48 unitarias y de caja blanca, 19 de caja negra, 10 de integración, 11 de usabilidad y accesibilidad, 17 de penetración sobre el receptor y 15 de penetración sobre el sitio. La cobertura de caja blanca es del 100 % de líneas y funciones de Code.gs con 92 % de ramas, y del 99 % de líneas de la lógica del navegador. En el recorrido instrumentado del navegador se ejecutó el 100 % de las funciones de app.js y form.js, con 87 % de ramas en ambos. El análisis estático terminó sin errores; las advertencias restantes son del tipo «posible inyección por índice de objeto» y corresponden a accesos con claves que antes se validan contra una lista blanca.</w:t>
      </w:r>
    </w:p>
    <w:p>
      <w:pPr>
        <w:spacing w:after="160" w:line="300"/>
        <w:jc w:val="both"/>
      </w:pPr>
      <w:r>
        <w:t xml:space="preserve">Durante el ciclo se encontraron y corrigieron seis defectos de interfaz y accesibilidad y once hallazgos de seguridad. Después de cada corrección se volvió a ejecutar la batería completa.</w:t>
      </w:r>
    </w:p>
    <w:p>
      <w:pPr>
        <w:pStyle w:val="Heading2"/>
      </w:pPr>
      <w:r>
        <w:t xml:space="preserve">3.2 Defectos de interfaz y accesibilidad corregidos</w:t>
      </w:r>
    </w:p>
    <w:p>
      <w:pPr>
        <w:spacing w:after="160" w:line="300"/>
        <w:jc w:val="both"/>
      </w:pPr>
      <w:r>
        <w:t xml:space="preserve">En pantallas de 320 píxeles el encabezado y las tarjetas de proyecto desbordaban 20 píxeles hacia el costado. Se reorganizó el encabezado en móvil y se limitó el ancho interno de las tarjetas. En 390 píxeles el encabezado desbordaba 86 píxeles por el largo del nombre; ahora el nombre se parte en dos líneas.</w:t>
      </w:r>
    </w:p>
    <w:p>
      <w:pPr>
        <w:spacing w:after="160" w:line="300"/>
        <w:jc w:val="both"/>
      </w:pPr>
      <w:r>
        <w:t xml:space="preserve">El botón principal en tema oscuro tenía un contraste de 4,07 a 1 con su texto, por debajo del 4,5 a 1 que exige WCAG. Se oscureció el azul hasta superar el mínimo. Un bloque lateral estaba marcado como región complementaria dentro de otra región, lo que confunde a los lectores de pantalla; pasó a ser un contenedor común. El enlace de evidencia del diagrama de servidores medía 19 píxeles de alto y no llegaba a los 24 que pide WCAG 2.5.8. Tres etiquetas tenían texto de menos de 12 píxeles.</w:t>
      </w:r>
    </w:p>
    <w:p>
      <w:pPr>
        <w:spacing w:after="160" w:line="300"/>
        <w:jc w:val="both"/>
      </w:pPr>
      <w:r>
        <w:t xml:space="preserve">Además se ajustaron dos pruebas que daban falsos positivos: una de privacidad confundía la palabra «escolaridad» en portugués con un dato personal, y otra medía el tiempo de espera del envío desde el clic y no desde la salida de la petición.</w:t>
      </w:r>
    </w:p>
    <w:p>
      <w:pPr>
        <w:pStyle w:val="Heading2"/>
      </w:pPr>
      <w:r>
        <w:t xml:space="preserve">3.3 Hallazgos de seguridad</w:t>
      </w:r>
    </w:p>
    <w:p>
      <w:pPr>
        <w:pStyle w:val="Heading3"/>
      </w:pPr>
      <w:r>
        <w:t xml:space="preserve">H-01 Bombardeo de correo a terceros mediante la autorrespuesta</w:t>
      </w:r>
    </w:p>
    <w:p>
      <w:pPr>
        <w:spacing w:after="160" w:line="300"/>
        <w:jc w:val="both"/>
      </w:pPr>
      <w:r>
        <w:rPr>
          <w:b/>
          <w:bCs/>
        </w:rPr>
        <w:t xml:space="preserve">Severidad: </w:t>
      </w:r>
      <w:r>
        <w:t xml:space="preserve">Alta</w:t>
      </w:r>
    </w:p>
    <w:p>
      <w:pPr>
        <w:spacing w:after="160" w:line="300"/>
        <w:jc w:val="both"/>
      </w:pPr>
      <w:r>
        <w:rPr>
          <w:b/>
          <w:bCs/>
        </w:rPr>
        <w:t xml:space="preserve">Descripción. </w:t>
      </w:r>
      <w:r>
        <w:t xml:space="preserve">El formulario enviaba una confirmación a la dirección que escribiera cualquier persona. Con el límite original de tres envíos cada diez minutos, un atacante podía hacer que la cuenta de Gonzalo enviara cientos de correos por día a una víctima.</w:t>
      </w:r>
    </w:p>
    <w:p>
      <w:pPr>
        <w:spacing w:after="160" w:line="300"/>
        <w:jc w:val="both"/>
      </w:pPr>
      <w:r>
        <w:rPr>
          <w:b/>
          <w:bCs/>
        </w:rPr>
        <w:t xml:space="preserve">Impacto. </w:t>
      </w:r>
      <w:r>
        <w:t xml:space="preserve">Uso de la cuenta propia como herramienta de acoso, riesgo de que Google marque la cuenta como emisora de spam y pérdida de reputación del dominio de correo.</w:t>
      </w:r>
    </w:p>
    <w:p>
      <w:pPr>
        <w:spacing w:after="160" w:line="300"/>
        <w:jc w:val="both"/>
      </w:pPr>
      <w:r>
        <w:rPr>
          <w:b/>
          <w:bCs/>
        </w:rPr>
        <w:t xml:space="preserve">Corrección. </w:t>
      </w:r>
      <w:r>
        <w:t xml:space="preserve">Se limita a una autorrespuesta por destinatario cada seis horas, calculada sobre la dirección normalizada. El pedido se sigue guardando para el dueño.</w:t>
      </w:r>
    </w:p>
    <w:p>
      <w:pPr>
        <w:spacing w:after="160" w:line="300"/>
        <w:jc w:val="both"/>
      </w:pPr>
      <w:r>
        <w:rPr>
          <w:b/>
          <w:bCs/>
        </w:rPr>
        <w:t xml:space="preserve">Verificación. </w:t>
      </w:r>
      <w:r>
        <w:t xml:space="preserve">La prueba S09 envía tres pedidos con la misma víctima y confirma que recibe un solo correo y que la planilla registra los tres pedidos.</w:t>
      </w:r>
    </w:p>
    <w:p>
      <w:pPr>
        <w:pStyle w:val="Heading3"/>
      </w:pPr>
      <w:r>
        <w:t xml:space="preserve">H-02 Suplantación de contenido en la autorrespuesta</w:t>
      </w:r>
    </w:p>
    <w:p>
      <w:pPr>
        <w:spacing w:after="160" w:line="300"/>
        <w:jc w:val="both"/>
      </w:pPr>
      <w:r>
        <w:rPr>
          <w:b/>
          <w:bCs/>
        </w:rPr>
        <w:t xml:space="preserve">Severidad: </w:t>
      </w:r>
      <w:r>
        <w:t xml:space="preserve">Media</w:t>
      </w:r>
    </w:p>
    <w:p>
      <w:pPr>
        <w:spacing w:after="160" w:line="300"/>
        <w:jc w:val="both"/>
      </w:pPr>
      <w:r>
        <w:rPr>
          <w:b/>
          <w:bCs/>
        </w:rPr>
        <w:t xml:space="preserve">Descripción. </w:t>
      </w:r>
      <w:r>
        <w:t xml:space="preserve">El saludo de la confirmación usaba la primera palabra del nombre escrito por el usuario. Un atacante podía escribir una dirección web como nombre y conseguir que un correo legítimo de Gonzalo contuviera ese enlace.</w:t>
      </w:r>
    </w:p>
    <w:p>
      <w:pPr>
        <w:spacing w:after="160" w:line="300"/>
        <w:jc w:val="both"/>
      </w:pPr>
      <w:r>
        <w:rPr>
          <w:b/>
          <w:bCs/>
        </w:rPr>
        <w:t xml:space="preserve">Impacto. </w:t>
      </w:r>
      <w:r>
        <w:t xml:space="preserve">Correos de phishing enviados desde una cuenta real y confiable.</w:t>
      </w:r>
    </w:p>
    <w:p>
      <w:pPr>
        <w:spacing w:after="160" w:line="300"/>
        <w:jc w:val="both"/>
      </w:pPr>
      <w:r>
        <w:rPr>
          <w:b/>
          <w:bCs/>
        </w:rPr>
        <w:t xml:space="preserve">Corrección. </w:t>
      </w:r>
      <w:r>
        <w:t xml:space="preserve">El nombre del saludo solo se usa si es una palabra de letras, con apóstrofo o guion, de 2 a 30 caracteres. En cualquier otro caso el saludo no lleva nombre.</w:t>
      </w:r>
    </w:p>
    <w:p>
      <w:pPr>
        <w:spacing w:after="160" w:line="300"/>
        <w:jc w:val="both"/>
      </w:pPr>
      <w:r>
        <w:rPr>
          <w:b/>
          <w:bCs/>
        </w:rPr>
        <w:t xml:space="preserve">Verificación. </w:t>
      </w:r>
      <w:r>
        <w:t xml:space="preserve">La prueba S08 confirma que nombres con enlaces no llegan al correo y que «José María» se saluda como «José».</w:t>
      </w:r>
    </w:p>
    <w:p>
      <w:pPr>
        <w:pStyle w:val="Heading3"/>
      </w:pPr>
      <w:r>
        <w:t xml:space="preserve">H-03 Evasión del límite con variantes de una misma dirección</w:t>
      </w:r>
    </w:p>
    <w:p>
      <w:pPr>
        <w:spacing w:after="160" w:line="300"/>
        <w:jc w:val="both"/>
      </w:pPr>
      <w:r>
        <w:rPr>
          <w:b/>
          <w:bCs/>
        </w:rPr>
        <w:t xml:space="preserve">Severidad: </w:t>
      </w:r>
      <w:r>
        <w:t xml:space="preserve">Media</w:t>
      </w:r>
    </w:p>
    <w:p>
      <w:pPr>
        <w:spacing w:after="160" w:line="300"/>
        <w:jc w:val="both"/>
      </w:pPr>
      <w:r>
        <w:rPr>
          <w:b/>
          <w:bCs/>
        </w:rPr>
        <w:t xml:space="preserve">Descripción. </w:t>
      </w:r>
      <w:r>
        <w:t xml:space="preserve">El límite por correo comparaba la dirección textual. Las variantes con etiqueta (+algo), con puntos en Gmail o con el dominio googlemail.com se contaban como direcciones distintas.</w:t>
      </w:r>
    </w:p>
    <w:p>
      <w:pPr>
        <w:spacing w:after="160" w:line="300"/>
        <w:jc w:val="both"/>
      </w:pPr>
      <w:r>
        <w:rPr>
          <w:b/>
          <w:bCs/>
        </w:rPr>
        <w:t xml:space="preserve">Impacto. </w:t>
      </w:r>
      <w:r>
        <w:t xml:space="preserve">Un mismo remitente podía multiplicar sus envíos y los avisos al dueño.</w:t>
      </w:r>
    </w:p>
    <w:p>
      <w:pPr>
        <w:spacing w:after="160" w:line="300"/>
        <w:jc w:val="both"/>
      </w:pPr>
      <w:r>
        <w:rPr>
          <w:b/>
          <w:bCs/>
        </w:rPr>
        <w:t xml:space="preserve">Corrección. </w:t>
      </w:r>
      <w:r>
        <w:t xml:space="preserve">Los límites, la detección de duplicados y el control de autorrespuestas usan la dirección normalizada: minúsculas, sin etiqueta y, en Gmail, sin puntos.</w:t>
      </w:r>
    </w:p>
    <w:p>
      <w:pPr>
        <w:spacing w:after="160" w:line="300"/>
        <w:jc w:val="both"/>
      </w:pPr>
      <w:r>
        <w:rPr>
          <w:b/>
          <w:bCs/>
        </w:rPr>
        <w:t xml:space="preserve">Verificación. </w:t>
      </w:r>
      <w:r>
        <w:t xml:space="preserve">La prueba S10 envía cinco variantes de la misma cuenta y confirma que la cuarta ya es rechazada.</w:t>
      </w:r>
    </w:p>
    <w:p>
      <w:pPr>
        <w:pStyle w:val="Heading3"/>
      </w:pPr>
      <w:r>
        <w:t xml:space="preserve">H-04 Duplicación por reenvíos idénticos</w:t>
      </w:r>
    </w:p>
    <w:p>
      <w:pPr>
        <w:spacing w:after="160" w:line="300"/>
        <w:jc w:val="both"/>
      </w:pPr>
      <w:r>
        <w:rPr>
          <w:b/>
          <w:bCs/>
        </w:rPr>
        <w:t xml:space="preserve">Severidad: </w:t>
      </w:r>
      <w:r>
        <w:t xml:space="preserve">Baja</w:t>
      </w:r>
    </w:p>
    <w:p>
      <w:pPr>
        <w:spacing w:after="160" w:line="300"/>
        <w:jc w:val="both"/>
      </w:pPr>
      <w:r>
        <w:rPr>
          <w:b/>
          <w:bCs/>
        </w:rPr>
        <w:t xml:space="preserve">Descripción. </w:t>
      </w:r>
      <w:r>
        <w:t xml:space="preserve">Un reintento de red o un reenvío deliberado del mismo cuerpo creaba otra fila, otro número y otros correos.</w:t>
      </w:r>
    </w:p>
    <w:p>
      <w:pPr>
        <w:spacing w:after="160" w:line="300"/>
        <w:jc w:val="both"/>
      </w:pPr>
      <w:r>
        <w:rPr>
          <w:b/>
          <w:bCs/>
        </w:rPr>
        <w:t xml:space="preserve">Impacto. </w:t>
      </w:r>
      <w:r>
        <w:t xml:space="preserve">Planilla con pedidos repetidos y avisos duplicados.</w:t>
      </w:r>
    </w:p>
    <w:p>
      <w:pPr>
        <w:spacing w:after="160" w:line="300"/>
        <w:jc w:val="both"/>
      </w:pPr>
      <w:r>
        <w:rPr>
          <w:b/>
          <w:bCs/>
        </w:rPr>
        <w:t xml:space="preserve">Corrección. </w:t>
      </w:r>
      <w:r>
        <w:t xml:space="preserve">Durante diez minutos, un pedido con el mismo correo normalizado, servicio y descripción devuelve el número ya asignado sin guardar ni avisar de nuevo.</w:t>
      </w:r>
    </w:p>
    <w:p>
      <w:pPr>
        <w:spacing w:after="160" w:line="300"/>
        <w:jc w:val="both"/>
      </w:pPr>
      <w:r>
        <w:rPr>
          <w:b/>
          <w:bCs/>
        </w:rPr>
        <w:t xml:space="preserve">Verificación. </w:t>
      </w:r>
      <w:r>
        <w:t xml:space="preserve">La prueba S11 confirma un solo registro y dos correos ante dos envíos iguales.</w:t>
      </w:r>
    </w:p>
    <w:p>
      <w:pPr>
        <w:pStyle w:val="Heading3"/>
      </w:pPr>
      <w:r>
        <w:t xml:space="preserve">H-05 Trampa para bots detectable</w:t>
      </w:r>
    </w:p>
    <w:p>
      <w:pPr>
        <w:spacing w:after="160" w:line="300"/>
        <w:jc w:val="both"/>
      </w:pPr>
      <w:r>
        <w:rPr>
          <w:b/>
          <w:bCs/>
        </w:rPr>
        <w:t xml:space="preserve">Severidad: </w:t>
      </w:r>
      <w:r>
        <w:t xml:space="preserve">Baja</w:t>
      </w:r>
    </w:p>
    <w:p>
      <w:pPr>
        <w:spacing w:after="160" w:line="300"/>
        <w:jc w:val="both"/>
      </w:pPr>
      <w:r>
        <w:rPr>
          <w:b/>
          <w:bCs/>
        </w:rPr>
        <w:t xml:space="preserve">Descripción. </w:t>
      </w:r>
      <w:r>
        <w:t xml:space="preserve">Cuando un bot completaba el campo oculto, el receptor respondía siempre con un número terminado en 0000. Un atacante podía usar esa diferencia para saber que había sido detectado y ajustar su bot.</w:t>
      </w:r>
    </w:p>
    <w:p>
      <w:pPr>
        <w:spacing w:after="160" w:line="300"/>
        <w:jc w:val="both"/>
      </w:pPr>
      <w:r>
        <w:rPr>
          <w:b/>
          <w:bCs/>
        </w:rPr>
        <w:t xml:space="preserve">Impacto. </w:t>
      </w:r>
      <w:r>
        <w:t xml:space="preserve">Facilita la evasión del filtro anti-bots.</w:t>
      </w:r>
    </w:p>
    <w:p>
      <w:pPr>
        <w:spacing w:after="160" w:line="300"/>
        <w:jc w:val="both"/>
      </w:pPr>
      <w:r>
        <w:rPr>
          <w:b/>
          <w:bCs/>
        </w:rPr>
        <w:t xml:space="preserve">Corrección. </w:t>
      </w:r>
      <w:r>
        <w:t xml:space="preserve">La respuesta falsa tiene el mismo formato que una real y un número variable.</w:t>
      </w:r>
    </w:p>
    <w:p>
      <w:pPr>
        <w:spacing w:after="160" w:line="300"/>
        <w:jc w:val="both"/>
      </w:pPr>
      <w:r>
        <w:rPr>
          <w:b/>
          <w:bCs/>
        </w:rPr>
        <w:t xml:space="preserve">Verificación. </w:t>
      </w:r>
      <w:r>
        <w:t xml:space="preserve">La prueba S12 confirma el formato y la variación.</w:t>
      </w:r>
    </w:p>
    <w:p>
      <w:pPr>
        <w:pStyle w:val="Heading3"/>
      </w:pPr>
      <w:r>
        <w:t xml:space="preserve">H-06 Envío automatizado sin verificación de origen</w:t>
      </w:r>
    </w:p>
    <w:p>
      <w:pPr>
        <w:spacing w:after="160" w:line="300"/>
        <w:jc w:val="both"/>
      </w:pPr>
      <w:r>
        <w:rPr>
          <w:b/>
          <w:bCs/>
        </w:rPr>
        <w:t xml:space="preserve">Severidad: </w:t>
      </w:r>
      <w:r>
        <w:t xml:space="preserve">Media</w:t>
      </w:r>
    </w:p>
    <w:p>
      <w:pPr>
        <w:spacing w:after="160" w:line="300"/>
        <w:jc w:val="both"/>
      </w:pPr>
      <w:r>
        <w:rPr>
          <w:b/>
          <w:bCs/>
        </w:rPr>
        <w:t xml:space="preserve">Descripción. </w:t>
      </w:r>
      <w:r>
        <w:t xml:space="preserve">El receptor es público por diseño y solo se defendía con el campo oculto y con el tiempo de llenado que informa el propio navegador, dos datos que un script puede falsificar.</w:t>
      </w:r>
    </w:p>
    <w:p>
      <w:pPr>
        <w:spacing w:after="160" w:line="300"/>
        <w:jc w:val="both"/>
      </w:pPr>
      <w:r>
        <w:rPr>
          <w:b/>
          <w:bCs/>
        </w:rPr>
        <w:t xml:space="preserve">Impacto. </w:t>
      </w:r>
      <w:r>
        <w:t xml:space="preserve">Pedidos falsos con aviso inmediato al correo y a Telegram del dueño.</w:t>
      </w:r>
    </w:p>
    <w:p>
      <w:pPr>
        <w:spacing w:after="160" w:line="300"/>
        <w:jc w:val="both"/>
      </w:pPr>
      <w:r>
        <w:rPr>
          <w:b/>
          <w:bCs/>
        </w:rPr>
        <w:t xml:space="preserve">Corrección. </w:t>
      </w:r>
      <w:r>
        <w:t xml:space="preserve">El receptor entrega un token firmado con HMAC-SHA256 al cargar la página. El envío debe incluirlo con al menos 4 segundos y como máximo 24 horas de antigüedad, y la firma se compara en tiempo constante. Sin token válido el pedido se guarda como «Revisar (posible spam)», no genera correos y aparece en el recordatorio diario para que nada real se pierda.</w:t>
      </w:r>
    </w:p>
    <w:p>
      <w:pPr>
        <w:spacing w:after="160" w:line="300"/>
        <w:jc w:val="both"/>
      </w:pPr>
      <w:r>
        <w:rPr>
          <w:b/>
          <w:bCs/>
        </w:rPr>
        <w:t xml:space="preserve">Verificación. </w:t>
      </w:r>
      <w:r>
        <w:t xml:space="preserve">La prueba S13 cubre token ausente, alterado, del futuro, vencido y recién emitido. Las pruebas de integración confirman que el navegador lo obtiene y lo envía.</w:t>
      </w:r>
    </w:p>
    <w:p>
      <w:pPr>
        <w:pStyle w:val="Heading3"/>
      </w:pPr>
      <w:r>
        <w:t xml:space="preserve">H-07 Agotamiento de la cuota de correo y fallos de aviso</w:t>
      </w:r>
    </w:p>
    <w:p>
      <w:pPr>
        <w:spacing w:after="160" w:line="300"/>
        <w:jc w:val="both"/>
      </w:pPr>
      <w:r>
        <w:rPr>
          <w:b/>
          <w:bCs/>
        </w:rPr>
        <w:t xml:space="preserve">Severidad: </w:t>
      </w:r>
      <w:r>
        <w:t xml:space="preserve">Media</w:t>
      </w:r>
    </w:p>
    <w:p>
      <w:pPr>
        <w:spacing w:after="160" w:line="300"/>
        <w:jc w:val="both"/>
      </w:pPr>
      <w:r>
        <w:rPr>
          <w:b/>
          <w:bCs/>
        </w:rPr>
        <w:t xml:space="preserve">Descripción. </w:t>
      </w:r>
      <w:r>
        <w:t xml:space="preserve">Una cuenta personal de Google tiene una cuota diaria de correos. Si la cuota se agotaba o el envío fallaba, el error interrumpía la respuesta aunque el pedido ya estuviera guardado, y el cliente veía un error y reintentaba.</w:t>
      </w:r>
    </w:p>
    <w:p>
      <w:pPr>
        <w:spacing w:after="160" w:line="300"/>
        <w:jc w:val="both"/>
      </w:pPr>
      <w:r>
        <w:rPr>
          <w:b/>
          <w:bCs/>
        </w:rPr>
        <w:t xml:space="preserve">Impacto. </w:t>
      </w:r>
      <w:r>
        <w:t xml:space="preserve">Pérdida de avisos al dueño y pedidos duplicados por reintento.</w:t>
      </w:r>
    </w:p>
    <w:p>
      <w:pPr>
        <w:spacing w:after="160" w:line="300"/>
        <w:jc w:val="both"/>
      </w:pPr>
      <w:r>
        <w:rPr>
          <w:b/>
          <w:bCs/>
        </w:rPr>
        <w:t xml:space="preserve">Corrección. </w:t>
      </w:r>
      <w:r>
        <w:t xml:space="preserve">Cada aviso se ejecuta de forma aislada. La confirmación al cliente solo se envía si quedan más de 10 correos disponibles, para reservar la cuota a los avisos al dueño.</w:t>
      </w:r>
    </w:p>
    <w:p>
      <w:pPr>
        <w:spacing w:after="160" w:line="300"/>
        <w:jc w:val="both"/>
      </w:pPr>
      <w:r>
        <w:rPr>
          <w:b/>
          <w:bCs/>
        </w:rPr>
        <w:t xml:space="preserve">Verificación. </w:t>
      </w:r>
      <w:r>
        <w:t xml:space="preserve">La prueba S14 confirma la prioridad del aviso al dueño y que el pedido queda guardado aunque el correo falle.</w:t>
      </w:r>
    </w:p>
    <w:p>
      <w:pPr>
        <w:pStyle w:val="Heading3"/>
      </w:pPr>
      <w:r>
        <w:t xml:space="preserve">H-08 Datos personales en el borrador local</w:t>
      </w:r>
    </w:p>
    <w:p>
      <w:pPr>
        <w:spacing w:after="160" w:line="300"/>
        <w:jc w:val="both"/>
      </w:pPr>
      <w:r>
        <w:rPr>
          <w:b/>
          <w:bCs/>
        </w:rPr>
        <w:t xml:space="preserve">Severidad: </w:t>
      </w:r>
      <w:r>
        <w:t xml:space="preserve">Media</w:t>
      </w:r>
    </w:p>
    <w:p>
      <w:pPr>
        <w:spacing w:after="160" w:line="300"/>
        <w:jc w:val="both"/>
      </w:pPr>
      <w:r>
        <w:rPr>
          <w:b/>
          <w:bCs/>
        </w:rPr>
        <w:t xml:space="preserve">Descripción. </w:t>
      </w:r>
      <w:r>
        <w:t xml:space="preserve">El borrador del formulario guardaba en el navegador el nombre, la empresa, el correo y el teléfono, sin vencimiento.</w:t>
      </w:r>
    </w:p>
    <w:p>
      <w:pPr>
        <w:spacing w:after="160" w:line="300"/>
        <w:jc w:val="both"/>
      </w:pPr>
      <w:r>
        <w:rPr>
          <w:b/>
          <w:bCs/>
        </w:rPr>
        <w:t xml:space="preserve">Impacto. </w:t>
      </w:r>
      <w:r>
        <w:t xml:space="preserve">En una computadora compartida, la siguiente persona podía ver los datos de contacto de quien había empezado un pedido.</w:t>
      </w:r>
    </w:p>
    <w:p>
      <w:pPr>
        <w:spacing w:after="160" w:line="300"/>
        <w:jc w:val="both"/>
      </w:pPr>
      <w:r>
        <w:rPr>
          <w:b/>
          <w:bCs/>
        </w:rPr>
        <w:t xml:space="preserve">Corrección. </w:t>
      </w:r>
      <w:r>
        <w:t xml:space="preserve">El borrador conserva solo el servicio, los detalles, la descripción y los plazos. Vence a los siete días y nunca reabre en los pasos de datos personales o de revisión.</w:t>
      </w:r>
    </w:p>
    <w:p>
      <w:pPr>
        <w:spacing w:after="160" w:line="300"/>
        <w:jc w:val="both"/>
      </w:pPr>
      <w:r>
        <w:rPr>
          <w:b/>
          <w:bCs/>
        </w:rPr>
        <w:t xml:space="preserve">Verificación. </w:t>
      </w:r>
      <w:r>
        <w:t xml:space="preserve">Las pruebas C05 y C11 lo comprueban, incluso con el almacenamiento local manipulado.</w:t>
      </w:r>
    </w:p>
    <w:p>
      <w:pPr>
        <w:pStyle w:val="Heading3"/>
      </w:pPr>
      <w:r>
        <w:t xml:space="preserve">H-09 Caracteres invisibles bidireccionales en el código fuente</w:t>
      </w:r>
    </w:p>
    <w:p>
      <w:pPr>
        <w:spacing w:after="160" w:line="300"/>
        <w:jc w:val="both"/>
      </w:pPr>
      <w:r>
        <w:rPr>
          <w:b/>
          <w:bCs/>
        </w:rPr>
        <w:t xml:space="preserve">Severidad: </w:t>
      </w:r>
      <w:r>
        <w:t xml:space="preserve">Baja</w:t>
      </w:r>
    </w:p>
    <w:p>
      <w:pPr>
        <w:spacing w:after="160" w:line="300"/>
        <w:jc w:val="both"/>
      </w:pPr>
      <w:r>
        <w:rPr>
          <w:b/>
          <w:bCs/>
        </w:rPr>
        <w:t xml:space="preserve">Descripción. </w:t>
      </w:r>
      <w:r>
        <w:t xml:space="preserve">El análisis estático detectó que la expresión que elimina caracteres bidireccionales contenía esos mismos caracteres en forma literal e invisible, el patrón conocido como trojan source.</w:t>
      </w:r>
    </w:p>
    <w:p>
      <w:pPr>
        <w:spacing w:after="160" w:line="300"/>
        <w:jc w:val="both"/>
      </w:pPr>
      <w:r>
        <w:rPr>
          <w:b/>
          <w:bCs/>
        </w:rPr>
        <w:t xml:space="preserve">Impacto. </w:t>
      </w:r>
      <w:r>
        <w:t xml:space="preserve">El código puede verse distinto de lo que realmente ejecuta y dificulta la revisión.</w:t>
      </w:r>
    </w:p>
    <w:p>
      <w:pPr>
        <w:spacing w:after="160" w:line="300"/>
        <w:jc w:val="both"/>
      </w:pPr>
      <w:r>
        <w:rPr>
          <w:b/>
          <w:bCs/>
        </w:rPr>
        <w:t xml:space="preserve">Corrección. </w:t>
      </w:r>
      <w:r>
        <w:t xml:space="preserve">Se reemplazaron por secuencias de escape visibles.</w:t>
      </w:r>
    </w:p>
    <w:p>
      <w:pPr>
        <w:spacing w:after="160" w:line="300"/>
        <w:jc w:val="both"/>
      </w:pPr>
      <w:r>
        <w:rPr>
          <w:b/>
          <w:bCs/>
        </w:rPr>
        <w:t xml:space="preserve">Verificación. </w:t>
      </w:r>
      <w:r>
        <w:t xml:space="preserve">ESLint con el complemento de seguridad ya no informa el problema.</w:t>
      </w:r>
    </w:p>
    <w:p>
      <w:pPr>
        <w:pStyle w:val="Heading3"/>
      </w:pPr>
      <w:r>
        <w:t xml:space="preserve">H-10 Expresión regular de correo con riesgo de retroceso</w:t>
      </w:r>
    </w:p>
    <w:p>
      <w:pPr>
        <w:spacing w:after="160" w:line="300"/>
        <w:jc w:val="both"/>
      </w:pPr>
      <w:r>
        <w:rPr>
          <w:b/>
          <w:bCs/>
        </w:rPr>
        <w:t xml:space="preserve">Severidad: </w:t>
      </w:r>
      <w:r>
        <w:t xml:space="preserve">Baja</w:t>
      </w:r>
    </w:p>
    <w:p>
      <w:pPr>
        <w:spacing w:after="160" w:line="300"/>
        <w:jc w:val="both"/>
      </w:pPr>
      <w:r>
        <w:rPr>
          <w:b/>
          <w:bCs/>
        </w:rPr>
        <w:t xml:space="preserve">Descripción. </w:t>
      </w:r>
      <w:r>
        <w:t xml:space="preserve">La validación de correo usaba una expresión con grupos anidados que el análisis estático marcó como posible ReDoS. El largo máximo de 254 caracteres ya acotaba el riesgo.</w:t>
      </w:r>
    </w:p>
    <w:p>
      <w:pPr>
        <w:spacing w:after="160" w:line="300"/>
        <w:jc w:val="both"/>
      </w:pPr>
      <w:r>
        <w:rPr>
          <w:b/>
          <w:bCs/>
        </w:rPr>
        <w:t xml:space="preserve">Impacto. </w:t>
      </w:r>
      <w:r>
        <w:t xml:space="preserve">Consumo de CPU en el receptor con entradas diseñadas para ese fin.</w:t>
      </w:r>
    </w:p>
    <w:p>
      <w:pPr>
        <w:spacing w:after="160" w:line="300"/>
        <w:jc w:val="both"/>
      </w:pPr>
      <w:r>
        <w:rPr>
          <w:b/>
          <w:bCs/>
        </w:rPr>
        <w:t xml:space="preserve">Corrección. </w:t>
      </w:r>
      <w:r>
        <w:t xml:space="preserve">La validación separa la parte local y cada etiqueta del dominio y aplica expresiones simples a cada parte.</w:t>
      </w:r>
    </w:p>
    <w:p>
      <w:pPr>
        <w:spacing w:after="160" w:line="300"/>
        <w:jc w:val="both"/>
      </w:pPr>
      <w:r>
        <w:rPr>
          <w:b/>
          <w:bCs/>
        </w:rPr>
        <w:t xml:space="preserve">Verificación. </w:t>
      </w:r>
      <w:r>
        <w:t xml:space="preserve">La prueba S04 mide menos de 20 ms con entradas patológicas y ESLint ya no la marca.</w:t>
      </w:r>
    </w:p>
    <w:p>
      <w:pPr>
        <w:pStyle w:val="Heading3"/>
      </w:pPr>
      <w:r>
        <w:t xml:space="preserve">H-11 Clickjacking</w:t>
      </w:r>
    </w:p>
    <w:p>
      <w:pPr>
        <w:spacing w:after="160" w:line="300"/>
        <w:jc w:val="both"/>
      </w:pPr>
      <w:r>
        <w:rPr>
          <w:b/>
          <w:bCs/>
        </w:rPr>
        <w:t xml:space="preserve">Severidad: </w:t>
      </w:r>
      <w:r>
        <w:t xml:space="preserve">Baja (mitigación parcial)</w:t>
      </w:r>
    </w:p>
    <w:p>
      <w:pPr>
        <w:spacing w:after="160" w:line="300"/>
        <w:jc w:val="both"/>
      </w:pPr>
      <w:r>
        <w:rPr>
          <w:b/>
          <w:bCs/>
        </w:rPr>
        <w:t xml:space="preserve">Descripción. </w:t>
      </w:r>
      <w:r>
        <w:t xml:space="preserve">GitHub Pages no permite enviar las cabeceras frame-ancestors ni X-Frame-Options, y la directiva frame-ancestors no tiene efecto en una política declarada por meta.</w:t>
      </w:r>
    </w:p>
    <w:p>
      <w:pPr>
        <w:spacing w:after="160" w:line="300"/>
        <w:jc w:val="both"/>
      </w:pPr>
      <w:r>
        <w:rPr>
          <w:b/>
          <w:bCs/>
        </w:rPr>
        <w:t xml:space="preserve">Impacto. </w:t>
      </w:r>
      <w:r>
        <w:t xml:space="preserve">Otro sitio podría mostrar la página dentro de un marco e inducir clics.</w:t>
      </w:r>
    </w:p>
    <w:p>
      <w:pPr>
        <w:spacing w:after="160" w:line="300"/>
        <w:jc w:val="both"/>
      </w:pPr>
      <w:r>
        <w:rPr>
          <w:b/>
          <w:bCs/>
        </w:rPr>
        <w:t xml:space="preserve">Corrección. </w:t>
      </w:r>
      <w:r>
        <w:t xml:space="preserve">Si la página detecta que está dentro de un marco en el dominio de producción, desactiva el formulario. El impacto es bajo porque la única acción es enviar datos que el propio visitante escribe.</w:t>
      </w:r>
    </w:p>
    <w:p>
      <w:pPr>
        <w:spacing w:after="160" w:line="300"/>
        <w:jc w:val="both"/>
      </w:pPr>
      <w:r>
        <w:rPr>
          <w:b/>
          <w:bCs/>
        </w:rPr>
        <w:t xml:space="preserve">Verificación. </w:t>
      </w:r>
      <w:r>
        <w:t xml:space="preserve">La prueba C10 enmarca el sitio desde un dominio ajeno y confirma que el formulario queda inactivo.</w:t>
      </w:r>
    </w:p>
    <w:p>
      <w:pPr>
        <w:pStyle w:val="Heading2"/>
      </w:pPr>
      <w:r>
        <w:t xml:space="preserve">3.4 Controles verificados sin hallazgos</w:t>
      </w:r>
    </w:p>
    <w:p>
      <w:pPr>
        <w:spacing w:after="160" w:line="300"/>
        <w:jc w:val="both"/>
      </w:pPr>
      <w:r>
        <w:t xml:space="preserve">No se encontraron problemas en estos controles: XSS reflejado, almacenado y basado en DOM, porque todo el contenido se inserta como texto. La política de seguridad de contenido bloquea en la práctica los scripts inyectados, los estilos en línea, las imágenes y las conexiones a dominios ajenos. Tampoco hubo problemas con la contaminación del prototipo, las bombas JSON, la confusión de tipos ni la inyección de fórmulas en la planilla, incluidas variantes con HYPERLINK e IMPORTXML. Las cabeceras de los correos no admiten inyección y el HTML de los correos queda escapado. Todos los enlaces externos llevan noopener y noreferrer. Lo publicado no contiene secretos, rutas internas ni archivos sensibles. El método GET del receptor no expone pedidos ni propiedades, los errores no incluyen trazas y el token de Telegram viaja codificado y sin formato interpretable.</w:t>
      </w:r>
    </w:p>
    <w:p>
      <w:pPr>
        <w:pStyle w:val="Heading1"/>
      </w:pPr>
      <w:r>
        <w:t xml:space="preserve">4. Riesgos residuales y recomendaciones</w:t>
      </w:r>
    </w:p>
    <w:p>
      <w:pPr>
        <w:spacing w:after="160" w:line="300"/>
        <w:jc w:val="both"/>
      </w:pPr>
      <w:r>
        <w:t xml:space="preserve">GitHub Pages no permite definir cabeceras HTTP propias. La política de seguridad se aplica por meta y cubre lo esencial, pero conviene revisar las cabeceras reales después de publicar con el comando que figura en el README. El dominio github.io ya está en la lista de precarga de HSTS de los navegadores.</w:t>
      </w:r>
    </w:p>
    <w:p>
      <w:pPr>
        <w:spacing w:after="160" w:line="300"/>
        <w:jc w:val="both"/>
      </w:pPr>
      <w:r>
        <w:t xml:space="preserve">Los números de seguimiento son correlativos por mes y revelan cuántos pedidos llegaron en el período. Es un dato de bajo valor y se mantiene porque facilita la atención. El receptor es público por diseño: los límites, el token y la trampa reducen el abuso pero no lo eliminan, por eso los pedidos dudosos se guardan para revisión en lugar de descartarse.</w:t>
      </w:r>
    </w:p>
    <w:p>
      <w:pPr>
        <w:spacing w:after="160" w:line="300"/>
        <w:jc w:val="both"/>
      </w:pPr>
      <w:r>
        <w:t xml:space="preserve">Se recomienda activar la verificación en dos pasos en GitHub y en la cuenta de Google que ejecuta el script, renovar la fecha de vencimiento de security.txt antes de octubre de 2027, publicar una nueva versión de la implementación cada vez que se cambie Code.gs y, si más adelante se usa un dominio propio, verificarlo en GitHub para evitar que otra persona lo tome.</w:t>
      </w:r>
    </w:p>
    <w:p>
      <w:pPr>
        <w:pStyle w:val="Heading1"/>
      </w:pPr>
      <w:r>
        <w:t xml:space="preserve">5. Cómo repetir las pruebas</w:t>
      </w:r>
    </w:p>
    <w:p>
      <w:pPr>
        <w:spacing w:after="160" w:line="300"/>
        <w:jc w:val="both"/>
      </w:pPr>
      <w:r>
        <w:t xml:space="preserve">Con Node 20 o superior, desde la carpeta del proyecto se instalan las dependencias de desarrollo con npm install y el navegador con npx playwright install chromium. El comando npm test ejecuta todas las baterías en orden y muestra la cobertura. También pueden ejecutarse por separado con npm run test:unit, test:e2e, test:integration y test:security, y el análisis estático con npm run lint.</w:t>
      </w:r>
    </w:p>
    <w:p>
      <w:pPr>
        <w:pStyle w:val="Heading1"/>
      </w:pPr>
      <w:r>
        <w:t xml:space="preserve">6. Conclusión</w:t>
      </w:r>
    </w:p>
    <w:p>
      <w:pPr>
        <w:spacing w:after="160" w:line="300"/>
        <w:jc w:val="both"/>
      </w:pPr>
      <w:r>
        <w:t xml:space="preserve">El sitio y su formulario quedan listos para publicarse. Las pruebas de penetración encontraron fallas reales, sobre todo en el uso del correo como canal de abuso y en la verificación del origen de los envíos, y todas quedaron corregidas y cubiertas por pruebas que las detectarían si reaparecen. Las baterías quedan dentro del repositorio para repetirse en cada cambio.</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y de seguridad</dc:title>
  <dc:creator>Gonzalo Daniel Rodríguez de Mello</dc:creator>
  <cp:lastModifiedBy>Un-named</cp:lastModifiedBy>
  <cp:revision>1</cp:revision>
  <dcterms:created xsi:type="dcterms:W3CDTF">2026-10-17T16:07:38.905Z</dcterms:created>
  <dcterms:modified xsi:type="dcterms:W3CDTF">2026-10-17T16:07:38.905Z</dcterms:modified>
</cp:coreProperties>
</file>

<file path=docProps/custom.xml><?xml version="1.0" encoding="utf-8"?>
<Properties xmlns="http://schemas.openxmlformats.org/officeDocument/2006/custom-properties" xmlns:vt="http://schemas.openxmlformats.org/officeDocument/2006/docPropsVTypes"/>
</file>