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FA" w:rsidRPr="005532A6" w:rsidRDefault="0007717A" w:rsidP="005532A6">
      <w:pPr>
        <w:shd w:val="clear" w:color="auto" w:fill="FFFFFF"/>
        <w:spacing w:before="240" w:after="120" w:line="240" w:lineRule="auto"/>
        <w:outlineLvl w:val="1"/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</w:pPr>
      <w:r w:rsidRPr="005532A6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5</w:t>
      </w:r>
      <w:r w:rsidR="00B313FA" w:rsidRPr="005532A6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 xml:space="preserve">. </w:t>
      </w:r>
      <w:proofErr w:type="spellStart"/>
      <w:r w:rsidRPr="005532A6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Engine</w:t>
      </w:r>
      <w:proofErr w:type="spellEnd"/>
      <w:r w:rsidRPr="005532A6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 xml:space="preserve"> </w:t>
      </w:r>
      <w:proofErr w:type="spellStart"/>
      <w:r w:rsidRPr="005532A6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Extensions</w:t>
      </w:r>
      <w:proofErr w:type="spellEnd"/>
    </w:p>
    <w:p w:rsidR="004F0770" w:rsidRPr="0007717A" w:rsidRDefault="0007717A" w:rsidP="005532A6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proofErr w:type="spellStart"/>
      <w:r w:rsidRPr="0007717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 w:rsidRPr="0007717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Test </w:t>
      </w:r>
      <w:proofErr w:type="spellStart"/>
      <w:r w:rsidRPr="0007717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Engine</w:t>
      </w:r>
      <w:proofErr w:type="spellEnd"/>
      <w:r w:rsidRPr="0007717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usa un plugin de arquitectura que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permite a los usuarios y a las terceras empresas añadir funcionalidades al mismo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engine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. Su modelo extensible define un número de puntos extensibles que permiten añadir extensiones. Esta página aporta información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genetal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para aplicar a todos los tipos de extensiones que podrías querer escribir. Las páginas individuales para cada tipo de extensión permiten añadir detalles específicos. Para una detallada descripción de a extensibilidad de la arquitectura del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engine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, </w:t>
      </w:r>
      <w:hyperlink r:id="rId5" w:history="1">
        <w:r w:rsidRPr="0007717A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eastAsia="es-ES"/>
          </w:rPr>
          <w:t>visita esta página</w:t>
        </w:r>
      </w:hyperlink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.</w:t>
      </w:r>
    </w:p>
    <w:p w:rsidR="00B23310" w:rsidRPr="0007717A" w:rsidRDefault="0007717A" w:rsidP="005532A6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="004F0770"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.1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Extensión de atributo</w:t>
      </w:r>
    </w:p>
    <w:p w:rsidR="00B23310" w:rsidRDefault="0007717A" w:rsidP="005532A6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Cada extensión es implementada por una clase con características específicas.</w:t>
      </w:r>
    </w:p>
    <w:p w:rsidR="0007717A" w:rsidRPr="005532A6" w:rsidRDefault="0007717A" w:rsidP="005532A6">
      <w:pPr>
        <w:pStyle w:val="Prrafodelista"/>
        <w:numPr>
          <w:ilvl w:val="0"/>
          <w:numId w:val="8"/>
        </w:num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Tiene un constructor por defecto con el que </w:t>
      </w:r>
      <w:proofErr w:type="spellStart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puede crear una instancia </w:t>
      </w:r>
    </w:p>
    <w:p w:rsidR="0007717A" w:rsidRPr="005532A6" w:rsidRDefault="0007717A" w:rsidP="005532A6">
      <w:pPr>
        <w:pStyle w:val="Prrafodelista"/>
        <w:numPr>
          <w:ilvl w:val="0"/>
          <w:numId w:val="8"/>
        </w:num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Implementa algunas interfaces que varían acorde a la extensión particular</w:t>
      </w:r>
    </w:p>
    <w:p w:rsidR="0007717A" w:rsidRPr="005532A6" w:rsidRDefault="0007717A" w:rsidP="005532A6">
      <w:pPr>
        <w:pStyle w:val="Prrafodelista"/>
        <w:numPr>
          <w:ilvl w:val="0"/>
          <w:numId w:val="8"/>
        </w:num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Está marcado con el “</w:t>
      </w:r>
      <w:proofErr w:type="spellStart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ExtensionAttribute</w:t>
      </w:r>
      <w:proofErr w:type="spellEnd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” de </w:t>
      </w:r>
      <w:proofErr w:type="spellStart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que lo reconoce como una extensión.</w:t>
      </w:r>
    </w:p>
    <w:p w:rsidR="0094656E" w:rsidRDefault="0007717A" w:rsidP="005532A6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El código de una extensión típica podría verse así:</w:t>
      </w:r>
    </w:p>
    <w:p w:rsidR="0007717A" w:rsidRPr="0007717A" w:rsidRDefault="0007717A" w:rsidP="005532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</w:pPr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[</w:t>
      </w:r>
      <w:r w:rsidRPr="0007717A">
        <w:rPr>
          <w:rFonts w:ascii="Consolas" w:eastAsia="Times New Roman" w:hAnsi="Consolas" w:cs="Courier New"/>
          <w:color w:val="6F42C1"/>
          <w:sz w:val="20"/>
          <w:szCs w:val="20"/>
          <w:lang w:val="en-US" w:eastAsia="es-ES"/>
        </w:rPr>
        <w:t>Extension</w:t>
      </w:r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]</w:t>
      </w:r>
    </w:p>
    <w:p w:rsidR="0007717A" w:rsidRPr="0007717A" w:rsidRDefault="0007717A" w:rsidP="005532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</w:pPr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   </w:t>
      </w:r>
      <w:r w:rsidRPr="0007717A">
        <w:rPr>
          <w:rFonts w:ascii="Consolas" w:eastAsia="Times New Roman" w:hAnsi="Consolas" w:cs="Courier New"/>
          <w:color w:val="D73A49"/>
          <w:sz w:val="20"/>
          <w:szCs w:val="20"/>
          <w:lang w:val="en-US" w:eastAsia="es-ES"/>
        </w:rPr>
        <w:t>public</w:t>
      </w:r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</w:t>
      </w:r>
      <w:r w:rsidRPr="0007717A">
        <w:rPr>
          <w:rFonts w:ascii="Consolas" w:eastAsia="Times New Roman" w:hAnsi="Consolas" w:cs="Courier New"/>
          <w:color w:val="D73A49"/>
          <w:sz w:val="20"/>
          <w:szCs w:val="20"/>
          <w:lang w:val="en-US" w:eastAsia="es-ES"/>
        </w:rPr>
        <w:t>class</w:t>
      </w:r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07717A">
        <w:rPr>
          <w:rFonts w:ascii="Consolas" w:eastAsia="Times New Roman" w:hAnsi="Consolas" w:cs="Courier New"/>
          <w:color w:val="6F42C1"/>
          <w:sz w:val="20"/>
          <w:szCs w:val="20"/>
          <w:lang w:val="en-US" w:eastAsia="es-ES"/>
        </w:rPr>
        <w:t>MyExtension</w:t>
      </w:r>
      <w:proofErr w:type="spellEnd"/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:</w:t>
      </w:r>
      <w:proofErr w:type="gramEnd"/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</w:t>
      </w:r>
      <w:proofErr w:type="spellStart"/>
      <w:r w:rsidRPr="0007717A">
        <w:rPr>
          <w:rFonts w:ascii="Consolas" w:eastAsia="Times New Roman" w:hAnsi="Consolas" w:cs="Courier New"/>
          <w:color w:val="6F42C1"/>
          <w:sz w:val="20"/>
          <w:szCs w:val="20"/>
          <w:lang w:val="en-US" w:eastAsia="es-ES"/>
        </w:rPr>
        <w:t>ISomeInterface</w:t>
      </w:r>
      <w:proofErr w:type="spellEnd"/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</w:t>
      </w:r>
      <w:r w:rsidRPr="0007717A">
        <w:rPr>
          <w:rFonts w:ascii="Consolas" w:eastAsia="Times New Roman" w:hAnsi="Consolas" w:cs="Courier New"/>
          <w:color w:val="6A737D"/>
          <w:sz w:val="20"/>
          <w:szCs w:val="20"/>
          <w:lang w:val="en-US" w:eastAsia="es-ES"/>
        </w:rPr>
        <w:t>// Depending on the extension point</w:t>
      </w:r>
    </w:p>
    <w:p w:rsidR="0007717A" w:rsidRPr="0007717A" w:rsidRDefault="0007717A" w:rsidP="005532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   </w:t>
      </w:r>
      <w:r w:rsidRPr="0007717A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{</w:t>
      </w:r>
    </w:p>
    <w:p w:rsidR="0007717A" w:rsidRPr="0007717A" w:rsidRDefault="0007717A" w:rsidP="005532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07717A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r w:rsidRPr="0007717A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07717A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Your</w:t>
      </w:r>
      <w:proofErr w:type="spellEnd"/>
      <w:r w:rsidRPr="0007717A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07717A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code</w:t>
      </w:r>
      <w:proofErr w:type="spellEnd"/>
      <w:r w:rsidRPr="0007717A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07717A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here</w:t>
      </w:r>
      <w:proofErr w:type="spellEnd"/>
    </w:p>
    <w:p w:rsidR="0007717A" w:rsidRPr="0007717A" w:rsidRDefault="0007717A" w:rsidP="005532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07717A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}</w:t>
      </w:r>
    </w:p>
    <w:p w:rsidR="0007717A" w:rsidRPr="0007717A" w:rsidRDefault="0007717A" w:rsidP="005532A6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Propiedades del atributo</w:t>
      </w:r>
    </w:p>
    <w:p w:rsidR="0007717A" w:rsidRDefault="0007717A" w:rsidP="005532A6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Todas estas propiedades son opcionales:</w:t>
      </w:r>
    </w:p>
    <w:p w:rsidR="0007717A" w:rsidRPr="005532A6" w:rsidRDefault="0007717A" w:rsidP="005532A6">
      <w:pPr>
        <w:pStyle w:val="Prrafodelista"/>
        <w:numPr>
          <w:ilvl w:val="0"/>
          <w:numId w:val="9"/>
        </w:num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5532A6"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Ruta:</w:t>
      </w:r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Es una </w:t>
      </w:r>
      <w:proofErr w:type="spellStart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String</w:t>
      </w:r>
      <w:proofErr w:type="spellEnd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que identifica el punto de extensión en el cual se aplica. Es raramente necesitado desde que </w:t>
      </w:r>
      <w:proofErr w:type="spellStart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suele deducir el tipo de extensión basada a </w:t>
      </w:r>
      <w:proofErr w:type="gramStart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cual</w:t>
      </w:r>
      <w:proofErr w:type="gramEnd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interfaz está implementada.</w:t>
      </w:r>
    </w:p>
    <w:p w:rsidR="0007717A" w:rsidRPr="005532A6" w:rsidRDefault="0007717A" w:rsidP="005532A6">
      <w:pPr>
        <w:pStyle w:val="Prrafodelista"/>
        <w:numPr>
          <w:ilvl w:val="0"/>
          <w:numId w:val="9"/>
        </w:num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5532A6"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Descripción:</w:t>
      </w:r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Es una descripción opcional de lo que la extensión hace.</w:t>
      </w:r>
    </w:p>
    <w:p w:rsidR="0007717A" w:rsidRPr="005532A6" w:rsidRDefault="0007717A" w:rsidP="005532A6">
      <w:pPr>
        <w:pStyle w:val="Prrafodelista"/>
        <w:numPr>
          <w:ilvl w:val="0"/>
          <w:numId w:val="9"/>
        </w:num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5532A6"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Permitido:</w:t>
      </w:r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Un </w:t>
      </w:r>
      <w:proofErr w:type="spellStart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boolean</w:t>
      </w:r>
      <w:proofErr w:type="spellEnd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que indica si la extensión está permitida. Suele estar definida por defecto en true. La opción es usada por las extensiones avanzadas con funcionalidad que está encendida o apagada dependiendo de la introducción del usuario.</w:t>
      </w:r>
    </w:p>
    <w:p w:rsidR="00B55BCD" w:rsidRPr="005532A6" w:rsidRDefault="0007717A" w:rsidP="005532A6">
      <w:pPr>
        <w:pStyle w:val="Prrafodelista"/>
        <w:numPr>
          <w:ilvl w:val="0"/>
          <w:numId w:val="9"/>
        </w:num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proofErr w:type="spellStart"/>
      <w:r w:rsidRPr="005532A6"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EngineVersion</w:t>
      </w:r>
      <w:proofErr w:type="spellEnd"/>
      <w:r w:rsidRPr="005532A6"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:</w:t>
      </w:r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La versión mínima del </w:t>
      </w:r>
      <w:proofErr w:type="spellStart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engine</w:t>
      </w:r>
      <w:proofErr w:type="spellEnd"/>
      <w:r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que está soportada por la extensión. Aunque sea opcional, deberías usar esta propiedad si tu extensión no funciona en todas las versiones. Si no lo usas y tu extensión requiere servicios que no está presentes, podría producirse alguna excepción o causar otros errores.</w:t>
      </w:r>
      <w:r w:rsidR="00B55BCD" w:rsidRPr="005532A6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Las versiones 3.4 o superiores comprueban esta propiedad.</w:t>
      </w:r>
    </w:p>
    <w:p w:rsidR="00B55BCD" w:rsidRPr="0007717A" w:rsidRDefault="00B55BCD" w:rsidP="005532A6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 w:rsidRPr="00B55BCD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proofErr w:type="spellStart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ExtensionAttribute</w:t>
      </w:r>
      <w:proofErr w:type="spellEnd"/>
    </w:p>
    <w:p w:rsidR="00B55BCD" w:rsidRDefault="00B55BCD" w:rsidP="005532A6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Usando solo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ExtensionAttribute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,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podría tener que crear instancias de cada extensión en orden para preguntar cosas como “Qué extensión de archivo soportas”. Esto podría significar cargar muchas librerías posiblemente no necesitadas.</w:t>
      </w:r>
    </w:p>
    <w:p w:rsidR="00B55BCD" w:rsidRPr="0007717A" w:rsidRDefault="00B55BCD" w:rsidP="005532A6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4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proofErr w:type="spellStart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ExtensionPropertyAttribute</w:t>
      </w:r>
      <w:proofErr w:type="spellEnd"/>
    </w:p>
    <w:p w:rsidR="00B55BCD" w:rsidRDefault="00B55BCD" w:rsidP="005532A6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ExtensionPropertyAttribute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evade este problema. La extensión propia de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para cargar proyectos de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es un buen ejemplo:</w:t>
      </w:r>
    </w:p>
    <w:p w:rsidR="00B55BCD" w:rsidRPr="00B55BCD" w:rsidRDefault="00B55BCD" w:rsidP="005532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</w:pP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[</w:t>
      </w:r>
      <w:r w:rsidRPr="00B55BCD">
        <w:rPr>
          <w:rFonts w:ascii="Consolas" w:eastAsia="Times New Roman" w:hAnsi="Consolas" w:cs="Courier New"/>
          <w:color w:val="6F42C1"/>
          <w:sz w:val="20"/>
          <w:szCs w:val="20"/>
          <w:lang w:val="en-US" w:eastAsia="es-ES"/>
        </w:rPr>
        <w:t>Extension</w:t>
      </w: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]</w:t>
      </w:r>
    </w:p>
    <w:p w:rsidR="00B55BCD" w:rsidRPr="00B55BCD" w:rsidRDefault="00B55BCD" w:rsidP="005532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</w:pP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   [</w:t>
      </w:r>
      <w:proofErr w:type="spellStart"/>
      <w:proofErr w:type="gramStart"/>
      <w:r w:rsidRPr="00B55BCD">
        <w:rPr>
          <w:rFonts w:ascii="Consolas" w:eastAsia="Times New Roman" w:hAnsi="Consolas" w:cs="Courier New"/>
          <w:color w:val="6F42C1"/>
          <w:sz w:val="20"/>
          <w:szCs w:val="20"/>
          <w:lang w:val="en-US" w:eastAsia="es-ES"/>
        </w:rPr>
        <w:t>ExtensionProperty</w:t>
      </w:r>
      <w:proofErr w:type="spellEnd"/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(</w:t>
      </w:r>
      <w:proofErr w:type="gramEnd"/>
      <w:r w:rsidRPr="00B55BCD">
        <w:rPr>
          <w:rFonts w:ascii="Consolas" w:eastAsia="Times New Roman" w:hAnsi="Consolas" w:cs="Courier New"/>
          <w:color w:val="032F62"/>
          <w:sz w:val="20"/>
          <w:szCs w:val="20"/>
          <w:lang w:val="en-US" w:eastAsia="es-ES"/>
        </w:rPr>
        <w:t>"</w:t>
      </w:r>
      <w:proofErr w:type="spellStart"/>
      <w:r w:rsidRPr="00B55BCD">
        <w:rPr>
          <w:rFonts w:ascii="Consolas" w:eastAsia="Times New Roman" w:hAnsi="Consolas" w:cs="Courier New"/>
          <w:color w:val="032F62"/>
          <w:sz w:val="20"/>
          <w:szCs w:val="20"/>
          <w:lang w:val="en-US" w:eastAsia="es-ES"/>
        </w:rPr>
        <w:t>FileExtension</w:t>
      </w:r>
      <w:proofErr w:type="spellEnd"/>
      <w:r w:rsidRPr="00B55BCD">
        <w:rPr>
          <w:rFonts w:ascii="Consolas" w:eastAsia="Times New Roman" w:hAnsi="Consolas" w:cs="Courier New"/>
          <w:color w:val="032F62"/>
          <w:sz w:val="20"/>
          <w:szCs w:val="20"/>
          <w:lang w:val="en-US" w:eastAsia="es-ES"/>
        </w:rPr>
        <w:t>"</w:t>
      </w: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, </w:t>
      </w:r>
      <w:r w:rsidRPr="00B55BCD">
        <w:rPr>
          <w:rFonts w:ascii="Consolas" w:eastAsia="Times New Roman" w:hAnsi="Consolas" w:cs="Courier New"/>
          <w:color w:val="032F62"/>
          <w:sz w:val="20"/>
          <w:szCs w:val="20"/>
          <w:lang w:val="en-US" w:eastAsia="es-ES"/>
        </w:rPr>
        <w:t>".</w:t>
      </w:r>
      <w:proofErr w:type="spellStart"/>
      <w:r w:rsidRPr="00B55BCD">
        <w:rPr>
          <w:rFonts w:ascii="Consolas" w:eastAsia="Times New Roman" w:hAnsi="Consolas" w:cs="Courier New"/>
          <w:color w:val="032F62"/>
          <w:sz w:val="20"/>
          <w:szCs w:val="20"/>
          <w:lang w:val="en-US" w:eastAsia="es-ES"/>
        </w:rPr>
        <w:t>nunit</w:t>
      </w:r>
      <w:proofErr w:type="spellEnd"/>
      <w:r w:rsidRPr="00B55BCD">
        <w:rPr>
          <w:rFonts w:ascii="Consolas" w:eastAsia="Times New Roman" w:hAnsi="Consolas" w:cs="Courier New"/>
          <w:color w:val="032F62"/>
          <w:sz w:val="20"/>
          <w:szCs w:val="20"/>
          <w:lang w:val="en-US" w:eastAsia="es-ES"/>
        </w:rPr>
        <w:t>"</w:t>
      </w: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)]</w:t>
      </w:r>
    </w:p>
    <w:p w:rsidR="00B55BCD" w:rsidRPr="00B55BCD" w:rsidRDefault="00B55BCD" w:rsidP="005532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</w:pP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   </w:t>
      </w:r>
      <w:r w:rsidRPr="00B55BCD">
        <w:rPr>
          <w:rFonts w:ascii="Consolas" w:eastAsia="Times New Roman" w:hAnsi="Consolas" w:cs="Courier New"/>
          <w:color w:val="D73A49"/>
          <w:sz w:val="20"/>
          <w:szCs w:val="20"/>
          <w:lang w:val="en-US" w:eastAsia="es-ES"/>
        </w:rPr>
        <w:t>public</w:t>
      </w: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</w:t>
      </w:r>
      <w:r w:rsidRPr="00B55BCD">
        <w:rPr>
          <w:rFonts w:ascii="Consolas" w:eastAsia="Times New Roman" w:hAnsi="Consolas" w:cs="Courier New"/>
          <w:color w:val="D73A49"/>
          <w:sz w:val="20"/>
          <w:szCs w:val="20"/>
          <w:lang w:val="en-US" w:eastAsia="es-ES"/>
        </w:rPr>
        <w:t>class</w:t>
      </w: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B55BCD">
        <w:rPr>
          <w:rFonts w:ascii="Consolas" w:eastAsia="Times New Roman" w:hAnsi="Consolas" w:cs="Courier New"/>
          <w:color w:val="6F42C1"/>
          <w:sz w:val="20"/>
          <w:szCs w:val="20"/>
          <w:lang w:val="en-US" w:eastAsia="es-ES"/>
        </w:rPr>
        <w:t>NUnitProjectLoader</w:t>
      </w:r>
      <w:proofErr w:type="spellEnd"/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:</w:t>
      </w:r>
      <w:proofErr w:type="gramEnd"/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</w:t>
      </w:r>
      <w:proofErr w:type="spellStart"/>
      <w:r w:rsidRPr="00B55BCD">
        <w:rPr>
          <w:rFonts w:ascii="Consolas" w:eastAsia="Times New Roman" w:hAnsi="Consolas" w:cs="Courier New"/>
          <w:color w:val="6F42C1"/>
          <w:sz w:val="20"/>
          <w:szCs w:val="20"/>
          <w:lang w:val="en-US" w:eastAsia="es-ES"/>
        </w:rPr>
        <w:t>IProjectLoader</w:t>
      </w:r>
      <w:proofErr w:type="spellEnd"/>
    </w:p>
    <w:p w:rsidR="00B55BCD" w:rsidRPr="00B55BCD" w:rsidRDefault="00B55BCD" w:rsidP="005532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   </w:t>
      </w:r>
      <w:r w:rsidRPr="00B55BCD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{</w:t>
      </w:r>
    </w:p>
    <w:p w:rsidR="00B55BCD" w:rsidRPr="00B55BCD" w:rsidRDefault="00B55BCD" w:rsidP="005532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B55BCD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...</w:t>
      </w:r>
    </w:p>
    <w:p w:rsidR="00B55BCD" w:rsidRPr="00B55BCD" w:rsidRDefault="00B55BCD" w:rsidP="005532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B55BCD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}</w:t>
      </w:r>
    </w:p>
    <w:p w:rsidR="00B55BCD" w:rsidRDefault="008503F2" w:rsidP="005532A6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Con su uso,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permite posponer la carga de la extensión hasta que el usuario utiliza un archivo de </w:t>
      </w:r>
      <w:proofErr w:type="gram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extensión .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unit</w:t>
      </w:r>
      <w:proofErr w:type="spellEnd"/>
      <w:proofErr w:type="gramEnd"/>
    </w:p>
    <w:p w:rsidR="008503F2" w:rsidRPr="0007717A" w:rsidRDefault="008503F2" w:rsidP="005532A6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Tipos de extensiones</w:t>
      </w:r>
    </w:p>
    <w:p w:rsidR="008503F2" w:rsidRDefault="008503F2" w:rsidP="005532A6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Desde la versión 3.4,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Engine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soporta 4 tipos de extensiones. A </w:t>
      </w:r>
      <w:proofErr w:type="gram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continuación</w:t>
      </w:r>
      <w:proofErr w:type="gram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se detallan páginas individuales para cada tipo específico con el fin de ofrecer detalles de cada una de ellas.</w:t>
      </w:r>
    </w:p>
    <w:p w:rsidR="008503F2" w:rsidRPr="005532A6" w:rsidRDefault="005532A6" w:rsidP="005532A6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6" w:history="1">
        <w:r w:rsidR="008503F2" w:rsidRPr="005532A6">
          <w:rPr>
            <w:rStyle w:val="Hipervnculo"/>
            <w:rFonts w:ascii="Segoe UI" w:hAnsi="Segoe UI" w:cs="Segoe UI"/>
            <w:color w:val="0366D6"/>
          </w:rPr>
          <w:t xml:space="preserve">Project </w:t>
        </w:r>
        <w:proofErr w:type="spellStart"/>
        <w:r w:rsidR="008503F2" w:rsidRPr="005532A6">
          <w:rPr>
            <w:rStyle w:val="Hipervnculo"/>
            <w:rFonts w:ascii="Segoe UI" w:hAnsi="Segoe UI" w:cs="Segoe UI"/>
            <w:color w:val="0366D6"/>
          </w:rPr>
          <w:t>Loaders</w:t>
        </w:r>
        <w:proofErr w:type="spellEnd"/>
      </w:hyperlink>
    </w:p>
    <w:p w:rsidR="008503F2" w:rsidRPr="005532A6" w:rsidRDefault="005532A6" w:rsidP="005532A6">
      <w:pPr>
        <w:pStyle w:val="Prrafodelista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7" w:history="1">
        <w:proofErr w:type="spellStart"/>
        <w:r w:rsidR="008503F2" w:rsidRPr="005532A6">
          <w:rPr>
            <w:rStyle w:val="Hipervnculo"/>
            <w:rFonts w:ascii="Segoe UI" w:hAnsi="Segoe UI" w:cs="Segoe UI"/>
            <w:color w:val="0366D6"/>
          </w:rPr>
          <w:t>Result</w:t>
        </w:r>
        <w:proofErr w:type="spellEnd"/>
        <w:r w:rsidR="008503F2" w:rsidRPr="005532A6"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 w:rsidR="008503F2" w:rsidRPr="005532A6">
          <w:rPr>
            <w:rStyle w:val="Hipervnculo"/>
            <w:rFonts w:ascii="Segoe UI" w:hAnsi="Segoe UI" w:cs="Segoe UI"/>
            <w:color w:val="0366D6"/>
          </w:rPr>
          <w:t>Writers</w:t>
        </w:r>
        <w:proofErr w:type="spellEnd"/>
      </w:hyperlink>
      <w:bookmarkStart w:id="0" w:name="_GoBack"/>
      <w:bookmarkEnd w:id="0"/>
    </w:p>
    <w:p w:rsidR="008503F2" w:rsidRPr="005532A6" w:rsidRDefault="005532A6" w:rsidP="005532A6">
      <w:pPr>
        <w:pStyle w:val="Prrafodelista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8" w:history="1">
        <w:r w:rsidR="008503F2" w:rsidRPr="005532A6">
          <w:rPr>
            <w:rStyle w:val="Hipervnculo"/>
            <w:rFonts w:ascii="Segoe UI" w:hAnsi="Segoe UI" w:cs="Segoe UI"/>
            <w:color w:val="0366D6"/>
          </w:rPr>
          <w:t>Framework Drivers</w:t>
        </w:r>
      </w:hyperlink>
    </w:p>
    <w:p w:rsidR="00B55BCD" w:rsidRPr="005532A6" w:rsidRDefault="005532A6" w:rsidP="005532A6">
      <w:pPr>
        <w:pStyle w:val="Prrafodelista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9" w:history="1">
        <w:proofErr w:type="spellStart"/>
        <w:r w:rsidR="008503F2" w:rsidRPr="005532A6">
          <w:rPr>
            <w:rStyle w:val="Hipervnculo"/>
            <w:rFonts w:ascii="Segoe UI" w:hAnsi="Segoe UI" w:cs="Segoe UI"/>
            <w:color w:val="0366D6"/>
          </w:rPr>
          <w:t>Event</w:t>
        </w:r>
        <w:proofErr w:type="spellEnd"/>
        <w:r w:rsidR="008503F2" w:rsidRPr="005532A6"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 w:rsidR="008503F2" w:rsidRPr="005532A6">
          <w:rPr>
            <w:rStyle w:val="Hipervnculo"/>
            <w:rFonts w:ascii="Segoe UI" w:hAnsi="Segoe UI" w:cs="Segoe UI"/>
            <w:color w:val="0366D6"/>
          </w:rPr>
          <w:t>Listeners</w:t>
        </w:r>
        <w:proofErr w:type="spellEnd"/>
      </w:hyperlink>
    </w:p>
    <w:p w:rsidR="0007717A" w:rsidRPr="00B55BCD" w:rsidRDefault="0007717A" w:rsidP="00B55BCD">
      <w:pPr>
        <w:shd w:val="clear" w:color="auto" w:fill="FFFFFF"/>
        <w:spacing w:before="240" w:after="120" w:line="240" w:lineRule="auto"/>
        <w:ind w:left="814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</w:p>
    <w:p w:rsidR="0007717A" w:rsidRPr="0094656E" w:rsidRDefault="0007717A" w:rsidP="0007717A">
      <w:pPr>
        <w:shd w:val="clear" w:color="auto" w:fill="FFFFFF"/>
        <w:spacing w:before="240" w:after="120" w:line="240" w:lineRule="auto"/>
        <w:ind w:left="7080" w:firstLine="70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</w:p>
    <w:p w:rsidR="00171086" w:rsidRPr="0094656E" w:rsidRDefault="00171086" w:rsidP="00171086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</w:p>
    <w:sectPr w:rsidR="00171086" w:rsidRPr="00946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7EA0"/>
    <w:multiLevelType w:val="hybridMultilevel"/>
    <w:tmpl w:val="36BA0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F691C"/>
    <w:multiLevelType w:val="hybridMultilevel"/>
    <w:tmpl w:val="513A6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17DC3"/>
    <w:multiLevelType w:val="hybridMultilevel"/>
    <w:tmpl w:val="F90A9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66F1C"/>
    <w:multiLevelType w:val="hybridMultilevel"/>
    <w:tmpl w:val="BE6499E0"/>
    <w:lvl w:ilvl="0" w:tplc="0C0A000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1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2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3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4268" w:hanging="360"/>
      </w:pPr>
      <w:rPr>
        <w:rFonts w:ascii="Wingdings" w:hAnsi="Wingdings" w:hint="default"/>
      </w:rPr>
    </w:lvl>
  </w:abstractNum>
  <w:abstractNum w:abstractNumId="4" w15:restartNumberingAfterBreak="0">
    <w:nsid w:val="50687A41"/>
    <w:multiLevelType w:val="hybridMultilevel"/>
    <w:tmpl w:val="CD860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3E59"/>
    <w:multiLevelType w:val="multilevel"/>
    <w:tmpl w:val="5DE8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107EC"/>
    <w:multiLevelType w:val="hybridMultilevel"/>
    <w:tmpl w:val="1D161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C1343"/>
    <w:multiLevelType w:val="hybridMultilevel"/>
    <w:tmpl w:val="423EB4A8"/>
    <w:lvl w:ilvl="0" w:tplc="0C0A000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1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2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3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4268" w:hanging="360"/>
      </w:pPr>
      <w:rPr>
        <w:rFonts w:ascii="Wingdings" w:hAnsi="Wingdings" w:hint="default"/>
      </w:rPr>
    </w:lvl>
  </w:abstractNum>
  <w:abstractNum w:abstractNumId="8" w15:restartNumberingAfterBreak="0">
    <w:nsid w:val="72B60DFE"/>
    <w:multiLevelType w:val="hybridMultilevel"/>
    <w:tmpl w:val="EF9CF0CA"/>
    <w:lvl w:ilvl="0" w:tplc="0C0A000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1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2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3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4268" w:hanging="360"/>
      </w:pPr>
      <w:rPr>
        <w:rFonts w:ascii="Wingdings" w:hAnsi="Wingdings" w:hint="default"/>
      </w:rPr>
    </w:lvl>
  </w:abstractNum>
  <w:abstractNum w:abstractNumId="9" w15:restartNumberingAfterBreak="0">
    <w:nsid w:val="793423D4"/>
    <w:multiLevelType w:val="hybridMultilevel"/>
    <w:tmpl w:val="6B8A1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FA"/>
    <w:rsid w:val="000300E7"/>
    <w:rsid w:val="0007717A"/>
    <w:rsid w:val="00171086"/>
    <w:rsid w:val="00493D94"/>
    <w:rsid w:val="004E058B"/>
    <w:rsid w:val="004E3829"/>
    <w:rsid w:val="004F0770"/>
    <w:rsid w:val="00530727"/>
    <w:rsid w:val="00550637"/>
    <w:rsid w:val="005532A6"/>
    <w:rsid w:val="00834BD9"/>
    <w:rsid w:val="008503F2"/>
    <w:rsid w:val="0094656E"/>
    <w:rsid w:val="00981708"/>
    <w:rsid w:val="00B23310"/>
    <w:rsid w:val="00B313FA"/>
    <w:rsid w:val="00B55BCD"/>
    <w:rsid w:val="00CE1659"/>
    <w:rsid w:val="00DE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241B"/>
  <w15:chartTrackingRefBased/>
  <w15:docId w15:val="{61615224-024A-4894-9144-139259F4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1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31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13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313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13F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13F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313F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E084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DE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E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382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en">
    <w:name w:val="pl-en"/>
    <w:basedOn w:val="Fuentedeprrafopredeter"/>
    <w:rsid w:val="0007717A"/>
  </w:style>
  <w:style w:type="character" w:customStyle="1" w:styleId="pl-k">
    <w:name w:val="pl-k"/>
    <w:basedOn w:val="Fuentedeprrafopredeter"/>
    <w:rsid w:val="0007717A"/>
  </w:style>
  <w:style w:type="character" w:customStyle="1" w:styleId="pl-c">
    <w:name w:val="pl-c"/>
    <w:basedOn w:val="Fuentedeprrafopredeter"/>
    <w:rsid w:val="0007717A"/>
  </w:style>
  <w:style w:type="character" w:customStyle="1" w:styleId="pl-s">
    <w:name w:val="pl-s"/>
    <w:basedOn w:val="Fuentedeprrafopredeter"/>
    <w:rsid w:val="00B55BCD"/>
  </w:style>
  <w:style w:type="character" w:customStyle="1" w:styleId="pl-pds">
    <w:name w:val="pl-pds"/>
    <w:basedOn w:val="Fuentedeprrafopredeter"/>
    <w:rsid w:val="00B55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6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nit/docs/wiki/Framework-Driv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unit/docs/wiki/Result-Wri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unit/docs/wiki/Project-Load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unit/docs/wiki/Engine-Extensibil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unit/docs/wiki/Event-Listen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9</cp:revision>
  <dcterms:created xsi:type="dcterms:W3CDTF">2020-02-05T16:08:00Z</dcterms:created>
  <dcterms:modified xsi:type="dcterms:W3CDTF">2020-02-06T15:36:00Z</dcterms:modified>
</cp:coreProperties>
</file>