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872" w:rsidRPr="00CE7872" w:rsidRDefault="00CE7872" w:rsidP="00CE787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</w:pPr>
      <w:r w:rsidRPr="00CE787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fldChar w:fldCharType="begin"/>
      </w:r>
      <w:r w:rsidRPr="00CE787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instrText xml:space="preserve"> HYPERLINK "https://github.com/ingsoft3ucc/TPs/blob/master/trabajos/09-pruebas-unitarias.md" \l "8--utilizando-moq" </w:instrText>
      </w:r>
      <w:r w:rsidRPr="00CE787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fldChar w:fldCharType="separate"/>
      </w:r>
      <w:r w:rsidRPr="00CE787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s-AR"/>
        </w:rPr>
        <w:t xml:space="preserve">8- Utilizando </w:t>
      </w:r>
      <w:proofErr w:type="spellStart"/>
      <w:r w:rsidRPr="00CE787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es-AR"/>
        </w:rPr>
        <w:t>Moq</w:t>
      </w:r>
      <w:proofErr w:type="spellEnd"/>
      <w:r w:rsidRPr="00CE787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AR"/>
        </w:rPr>
        <w:fldChar w:fldCharType="end"/>
      </w:r>
    </w:p>
    <w:p w:rsidR="00CE7872" w:rsidRP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CE7872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es-AR"/>
        </w:rPr>
        <w:t>Intro</w:t>
      </w:r>
      <w:proofErr w:type="spellEnd"/>
    </w:p>
    <w:p w:rsidR="00CE7872" w:rsidRP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Moq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es un marco de pruebas y simulación (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mocking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framework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) para el lenguaje de programación C# en el entorno de desarrollo de .NET. Permite a los desarrolladores crear objetos simulados, llamados "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mocks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" o "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stubs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", para simular el comportamiento de componentes del sistema durante las pruebas unitarias.</w:t>
      </w:r>
    </w:p>
    <w:p w:rsidR="00CE7872" w:rsidRP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Algunas de las características y ventajas clave de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Moq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incluyen:</w:t>
      </w:r>
    </w:p>
    <w:p w:rsidR="00CE7872" w:rsidRP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Sintaxis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Fluent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: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Moq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utiliza una sintaxis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fluent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expresiva que facilita la creación y configuración de objetos simulados. Esto hace que las pruebas sean más legibles y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mantenibles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</w:t>
      </w:r>
    </w:p>
    <w:p w:rsidR="00CE7872" w:rsidRP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Generación Dinámica: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Moq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genera objetos simulados en tiempo de ejecución, lo que significa que no es necesario escribir clases separadas para implementar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mocks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 Esto ahorra tiempo y reduce la complejidad del código de prueba.</w:t>
      </w:r>
    </w:p>
    <w:p w:rsidR="00CE7872" w:rsidRP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Configuración de Comportamiento: Puedes configurar cómo debe comportarse un objeto simulado cuando se llama a sus métodos o propiedades. Esto incluye especificar los valores de retorno, establecer acciones personalizadas y verificar si se han llamado métodos específicos.</w:t>
      </w:r>
    </w:p>
    <w:p w:rsidR="00CE7872" w:rsidRP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Verificación de Llamadas: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Moq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permite verificar si se han llamado los métodos simulados y cuántas veces se han llamado. Esto es útil para asegurarse de que el código bajo prueba interactúa correctamente con sus dependencias simuladas.</w:t>
      </w:r>
    </w:p>
    <w:p w:rsidR="00CE7872" w:rsidRP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Soporte para Pruebas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Parametrizadas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: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Moq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es compatible con pruebas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parametrizadas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lo que significa que puedes ejecutar la misma prueba con múltiples conjuntos de datos o escenarios, cambiando la configuración de los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mocks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según sea necesario.</w:t>
      </w:r>
    </w:p>
    <w:p w:rsidR="00CE7872" w:rsidRP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Integración con Marcos de Pruebas: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Moq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se integra bien con marcos de pruebas populares como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NUnit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xUnit.NET, lo que facilita la incorporación de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mocks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en tus pruebas unitarias.</w:t>
      </w:r>
    </w:p>
    <w:p w:rsidR="00CE7872" w:rsidRP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Ligero y de Código Abierto: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Moq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es una biblioteca de código abierto y </w:t>
      </w:r>
      <w:proofErr w:type="gram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liviana</w:t>
      </w:r>
      <w:proofErr w:type="gram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que no agrega una sobrecarga significativa a tu proyecto.</w:t>
      </w:r>
    </w:p>
    <w:p w:rsidR="00CE7872" w:rsidRP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En resumen,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Moq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es una herramienta valiosa para escribir pruebas unitarias efectivas en C#. Permite a los desarrolladores crear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mocks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de manera rápida y sencilla para simular el comportamiento de las dependencias y componentes </w:t>
      </w: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>externos, lo que facilita la prueba aislada de unidades de código y la identificación de problemas en el código durante el desarrollo.</w:t>
      </w:r>
    </w:p>
    <w:p w:rsidR="00CE7872" w:rsidRP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8.1 Preparamos el entorno.</w:t>
      </w:r>
    </w:p>
    <w:p w:rsidR="00CE7872" w:rsidRPr="00CE7872" w:rsidRDefault="00CE7872" w:rsidP="00CE7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Clonamos una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app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de consola en .NET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Core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que hace uso de un servicio externo (una llamada a una API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Rest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) y la abrimos en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VS.Code</w:t>
      </w:r>
      <w:proofErr w:type="spellEnd"/>
    </w:p>
    <w:p w:rsidR="00CE7872" w:rsidRPr="00CE7872" w:rsidRDefault="00CE7872" w:rsidP="00CE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CE787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git</w:t>
      </w:r>
      <w:proofErr w:type="spellEnd"/>
      <w:proofErr w:type="gramEnd"/>
      <w:r w:rsidRPr="00CE787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clone https://github.com/ingsoft3ucc/MiNotSoSimpleApp.git</w:t>
      </w:r>
    </w:p>
    <w:p w:rsidR="00CE7872" w:rsidRPr="00CE7872" w:rsidRDefault="00CE7872" w:rsidP="00CE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gramStart"/>
      <w:r w:rsidRPr="00CE787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cd</w:t>
      </w:r>
      <w:proofErr w:type="gramEnd"/>
      <w:r w:rsidRPr="00CE787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CE787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MiNotSoSimpleApp</w:t>
      </w:r>
      <w:proofErr w:type="spellEnd"/>
    </w:p>
    <w:p w:rsidR="00CE7872" w:rsidRDefault="00CE7872" w:rsidP="00CE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CE787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code</w:t>
      </w:r>
      <w:proofErr w:type="spellEnd"/>
      <w:proofErr w:type="gramEnd"/>
      <w:r w:rsidRPr="00CE787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.</w:t>
      </w:r>
    </w:p>
    <w:p w:rsidR="00495BE6" w:rsidRPr="00CE7872" w:rsidRDefault="00495BE6" w:rsidP="00CE7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495BE6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drawing>
          <wp:inline distT="0" distB="0" distL="0" distR="0" wp14:anchorId="368F4C72" wp14:editId="60C98F47">
            <wp:extent cx="5400040" cy="17475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72" w:rsidRPr="00CE7872" w:rsidRDefault="00CE7872" w:rsidP="00CE787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Ejecutamos la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app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vemos como nos devuelve 100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items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desde la API:</w:t>
      </w:r>
    </w:p>
    <w:p w:rsidR="00CE7872" w:rsidRPr="00CE7872" w:rsidRDefault="00495BE6" w:rsidP="00CE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95BE6">
        <w:rPr>
          <w:rFonts w:ascii="Times New Roman" w:eastAsia="Times New Roman" w:hAnsi="Times New Roman" w:cs="Times New Roman"/>
          <w:sz w:val="24"/>
          <w:szCs w:val="24"/>
          <w:lang w:eastAsia="es-AR"/>
        </w:rPr>
        <w:drawing>
          <wp:inline distT="0" distB="0" distL="0" distR="0" wp14:anchorId="29A2BADC" wp14:editId="3B5025FD">
            <wp:extent cx="5400040" cy="3545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72" w:rsidRDefault="00CE7872" w:rsidP="00CE787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Analizamos el código</w:t>
      </w:r>
    </w:p>
    <w:p w:rsidR="00495BE6" w:rsidRPr="00495BE6" w:rsidRDefault="00495BE6" w:rsidP="00495BE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Este </w:t>
      </w:r>
      <w:proofErr w:type="spellStart"/>
      <w:r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Codigo</w:t>
      </w:r>
      <w:proofErr w:type="spellEnd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realiza lo siguiente:</w:t>
      </w:r>
    </w:p>
    <w:p w:rsidR="00495BE6" w:rsidRPr="00495BE6" w:rsidRDefault="00495BE6" w:rsidP="00495BE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</w:p>
    <w:p w:rsidR="00495BE6" w:rsidRPr="00495BE6" w:rsidRDefault="00495BE6" w:rsidP="00495BE6">
      <w:pPr>
        <w:pStyle w:val="Prrafodelista"/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Importa las bibliotecas necesarias para trabajar con solicitudes HTTP y servicios de inyección de dependencias.</w:t>
      </w:r>
    </w:p>
    <w:p w:rsidR="00495BE6" w:rsidRPr="00495BE6" w:rsidRDefault="00495BE6" w:rsidP="00495BE6">
      <w:pPr>
        <w:pStyle w:val="Prrafodelista"/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Define una clase llamada </w:t>
      </w:r>
      <w:proofErr w:type="spellStart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Program.</w:t>
      </w:r>
      <w:proofErr w:type="spellEnd"/>
    </w:p>
    <w:p w:rsidR="00495BE6" w:rsidRPr="00495BE6" w:rsidRDefault="00495BE6" w:rsidP="00495BE6">
      <w:pPr>
        <w:pStyle w:val="Prrafodelista"/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En el método </w:t>
      </w:r>
      <w:proofErr w:type="spellStart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Main</w:t>
      </w:r>
      <w:proofErr w:type="spellEnd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, crea un proveedor de servicios (</w:t>
      </w:r>
      <w:proofErr w:type="spellStart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serviceProvider</w:t>
      </w:r>
      <w:proofErr w:type="spellEnd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) que se utiliza para administra</w:t>
      </w:r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r las dependencias del programa.</w:t>
      </w:r>
    </w:p>
    <w:p w:rsidR="00495BE6" w:rsidRPr="00495BE6" w:rsidRDefault="00495BE6" w:rsidP="00495BE6">
      <w:pPr>
        <w:pStyle w:val="Prrafodelista"/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Registra un cliente HTTP en el proveedor de servicios mediante </w:t>
      </w:r>
      <w:proofErr w:type="spellStart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AddHttpClient</w:t>
      </w:r>
      <w:proofErr w:type="spellEnd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. Esto permite realizar solicitudes HTTP.</w:t>
      </w:r>
    </w:p>
    <w:p w:rsidR="00495BE6" w:rsidRPr="00495BE6" w:rsidRDefault="00495BE6" w:rsidP="00495BE6">
      <w:pPr>
        <w:pStyle w:val="Prrafodelista"/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Registra una clase llamada </w:t>
      </w:r>
      <w:proofErr w:type="spellStart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ApiService</w:t>
      </w:r>
      <w:proofErr w:type="spellEnd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como un servicio transitorio en el proveedor de servicios. Esto sugiere que </w:t>
      </w:r>
      <w:proofErr w:type="spellStart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ApiService</w:t>
      </w:r>
      <w:proofErr w:type="spellEnd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se utilizará para realizar tareas específicas en la aplicación.</w:t>
      </w:r>
    </w:p>
    <w:p w:rsidR="00495BE6" w:rsidRPr="00495BE6" w:rsidRDefault="00495BE6" w:rsidP="00495BE6">
      <w:pPr>
        <w:pStyle w:val="Prrafodelista"/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Obtiene una instancia de </w:t>
      </w:r>
      <w:proofErr w:type="spellStart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ApiService</w:t>
      </w:r>
      <w:proofErr w:type="spellEnd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del proveedor de servicios.</w:t>
      </w:r>
    </w:p>
    <w:p w:rsidR="00495BE6" w:rsidRPr="00495BE6" w:rsidRDefault="00495BE6" w:rsidP="00495BE6">
      <w:pPr>
        <w:pStyle w:val="Prrafodelista"/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Llama al método </w:t>
      </w:r>
      <w:proofErr w:type="spellStart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GetMyModelsAsync</w:t>
      </w:r>
      <w:proofErr w:type="spellEnd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de </w:t>
      </w:r>
      <w:proofErr w:type="spellStart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ApiService</w:t>
      </w:r>
      <w:proofErr w:type="spellEnd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para obtener una colección de modelos llamada </w:t>
      </w:r>
      <w:proofErr w:type="spellStart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myModels.</w:t>
      </w:r>
      <w:proofErr w:type="spellEnd"/>
    </w:p>
    <w:p w:rsidR="00495BE6" w:rsidRPr="00495BE6" w:rsidRDefault="00495BE6" w:rsidP="00495BE6">
      <w:pPr>
        <w:pStyle w:val="Prrafodelista"/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Itera a través de los elementos en </w:t>
      </w:r>
      <w:proofErr w:type="spellStart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myModels</w:t>
      </w:r>
      <w:proofErr w:type="spellEnd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y muestra la información de cada modelo en la consola.</w:t>
      </w:r>
    </w:p>
    <w:p w:rsidR="00495BE6" w:rsidRPr="00495BE6" w:rsidRDefault="00495BE6" w:rsidP="00495BE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En resumen, este programa utiliza inyección de dependencias para gestionar las dependencias de servicios, incluido un cliente HTTP para realizar solicitudes web. Luego, utiliza el servicio </w:t>
      </w:r>
      <w:proofErr w:type="spellStart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ApiService</w:t>
      </w:r>
      <w:proofErr w:type="spellEnd"/>
      <w:r w:rsidRPr="00495BE6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para obtener y mostrar información de modelos desde una fuente externa, probablemente una API web.</w:t>
      </w:r>
    </w:p>
    <w:p w:rsidR="00CE7872" w:rsidRPr="00CE7872" w:rsidRDefault="00CE7872" w:rsidP="00CE787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Identificamos el servicio externo y su interfaz a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mockear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 </w:t>
      </w:r>
      <w:r w:rsidRPr="00CE7872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Incluir en la entrega una explicación del código</w:t>
      </w:r>
    </w:p>
    <w:p w:rsidR="00F75B83" w:rsidRDefault="00CE7872" w:rsidP="00F75B8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Cerramos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VS.Code</w:t>
      </w:r>
      <w:proofErr w:type="spellEnd"/>
      <w:r w:rsidR="00F75B8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creamos el proyecto de </w:t>
      </w:r>
      <w:proofErr w:type="spellStart"/>
      <w:r w:rsidR="00F75B8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NUnit</w:t>
      </w:r>
      <w:proofErr w:type="spellEnd"/>
    </w:p>
    <w:p w:rsidR="00F75B83" w:rsidRPr="00F75B83" w:rsidRDefault="00F75B83" w:rsidP="00F75B83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0861E05D" wp14:editId="75EDB662">
            <wp:extent cx="3534268" cy="2324424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83" w:rsidRDefault="00CE7872" w:rsidP="00F75B8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Abrimos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VS.Code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configuramos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settings:</w:t>
      </w:r>
      <w:proofErr w:type="spellEnd"/>
    </w:p>
    <w:p w:rsidR="00CE7872" w:rsidRPr="00F75B83" w:rsidRDefault="00CE7872" w:rsidP="00F75B83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Seleccionamos el icono de Test y </w:t>
      </w:r>
      <w:proofErr w:type="spellStart"/>
      <w:r w:rsidRPr="00F75B8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OpenSettings</w:t>
      </w:r>
      <w:proofErr w:type="spellEnd"/>
      <w:r w:rsidRPr="00F75B8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Se abre el archivo </w:t>
      </w:r>
      <w:proofErr w:type="spellStart"/>
      <w:r w:rsidRPr="00F75B8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settings.json</w:t>
      </w:r>
      <w:proofErr w:type="spellEnd"/>
      <w:r w:rsidRPr="00F75B8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escribimos el nombre del proyecto de pruebas y el nombre de la </w:t>
      </w:r>
      <w:proofErr w:type="spellStart"/>
      <w:r w:rsidRPr="00F75B8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dll</w:t>
      </w:r>
      <w:proofErr w:type="spellEnd"/>
      <w:r w:rsidRPr="00F75B8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resultante de la compilación del proyecto de pruebas:</w:t>
      </w:r>
    </w:p>
    <w:p w:rsidR="00CE7872" w:rsidRDefault="00CE7872" w:rsidP="00CE78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>Guardamos el archivo.</w:t>
      </w:r>
    </w:p>
    <w:p w:rsidR="00F75B83" w:rsidRPr="00CE7872" w:rsidRDefault="00F75B83" w:rsidP="00F75B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234D86AA" wp14:editId="060AC559">
            <wp:extent cx="5400040" cy="12204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72" w:rsidRP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8.2 Escribimos Test:</w:t>
      </w:r>
    </w:p>
    <w:p w:rsidR="00CE7872" w:rsidRP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Reemplazamo</w:t>
      </w:r>
      <w:r w:rsidR="00F75B8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s el </w:t>
      </w:r>
      <w:proofErr w:type="spellStart"/>
      <w:r w:rsidR="00F75B8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codigo</w:t>
      </w:r>
      <w:proofErr w:type="spellEnd"/>
      <w:r w:rsidR="00F75B8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de UnitTest1.cs por</w:t>
      </w:r>
    </w:p>
    <w:p w:rsid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8.3 Incluir en la entrega una explicación del código, centrado en explicar cómo se reemplaza el servicio real por el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mock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, que líneas de nuestro código de test se encargan de hacerlo y cómo funciona el mecanismo.</w:t>
      </w:r>
    </w:p>
    <w:p w:rsidR="00F75B83" w:rsidRPr="00F75B83" w:rsidRDefault="00F75B83" w:rsidP="00F75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La clave de esta prueba radica en el uso de un objeto "</w:t>
      </w:r>
      <w:proofErr w:type="spellStart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mock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" para reemplazar el servicio real de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HttpClient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y simular las respuestas HTTP sin realizar llamadas reales a una API web. A continuación, se explica cómo se reemplaza el servicio real por el </w:t>
      </w:r>
      <w:proofErr w:type="spellStart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mock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y cómo funciona este mecanismo:</w:t>
      </w:r>
    </w:p>
    <w:p w:rsidR="00F75B83" w:rsidRDefault="00F75B83" w:rsidP="00F75B83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Mocking</w:t>
      </w:r>
      <w:proofErr w:type="spellEnd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 xml:space="preserve"> el servicio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HttpClient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:</w:t>
      </w:r>
    </w:p>
    <w:p w:rsidR="005A6D2F" w:rsidRPr="00F75B83" w:rsidRDefault="005A6D2F" w:rsidP="005A6D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5A6D2F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drawing>
          <wp:inline distT="0" distB="0" distL="0" distR="0" wp14:anchorId="2712FC1A" wp14:editId="042A83D2">
            <wp:extent cx="4067743" cy="466790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83" w:rsidRPr="00F75B83" w:rsidRDefault="00F75B83" w:rsidP="00F75B83">
      <w:pPr>
        <w:numPr>
          <w:ilvl w:val="1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Se crea una instancia de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ServiceCollection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para configurar la inyección de dependencias en la prueba.</w:t>
      </w:r>
    </w:p>
    <w:p w:rsidR="00F75B83" w:rsidRDefault="00F75B83" w:rsidP="00F75B83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Simulando la Respuesta HTTP</w:t>
      </w: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:</w:t>
      </w:r>
    </w:p>
    <w:p w:rsidR="005A6D2F" w:rsidRPr="00F75B83" w:rsidRDefault="005A6D2F" w:rsidP="005A6D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5A6D2F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drawing>
          <wp:inline distT="0" distB="0" distL="0" distR="0" wp14:anchorId="40B8EAFD" wp14:editId="5D3743E5">
            <wp:extent cx="5400040" cy="4660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83" w:rsidRPr="00F75B83" w:rsidRDefault="00F75B83" w:rsidP="00F75B83">
      <w:pPr>
        <w:numPr>
          <w:ilvl w:val="1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Se crea un objeto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mockResponse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de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HttpResponseMessage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que simula una respuesta HTTP exitosa. Esta respuesta incluye un cuerpo JSON que contiene un modelo de datos de ejemplo.</w:t>
      </w:r>
    </w:p>
    <w:p w:rsidR="00F75B83" w:rsidRDefault="00F75B83" w:rsidP="00F75B83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 xml:space="preserve">Configurando el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Mock</w:t>
      </w:r>
      <w:proofErr w:type="spellEnd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 xml:space="preserve"> del Manejador de Mensajes HTTP</w:t>
      </w: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:</w:t>
      </w:r>
    </w:p>
    <w:p w:rsidR="005A6D2F" w:rsidRPr="00F75B83" w:rsidRDefault="005A6D2F" w:rsidP="005A6D2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5A6D2F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drawing>
          <wp:inline distT="0" distB="0" distL="0" distR="0" wp14:anchorId="1F8CB4AA" wp14:editId="58E02CA5">
            <wp:extent cx="5400040" cy="5480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83" w:rsidRPr="00F75B83" w:rsidRDefault="00F75B83" w:rsidP="00F75B83">
      <w:pPr>
        <w:numPr>
          <w:ilvl w:val="1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lastRenderedPageBreak/>
        <w:t xml:space="preserve">Se crea un </w:t>
      </w:r>
      <w:proofErr w:type="spellStart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mock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del manejador de mensajes HTTP utilizando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Mock</w:t>
      </w:r>
      <w:proofErr w:type="spellEnd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&lt;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HttpMessageHandler</w:t>
      </w:r>
      <w:proofErr w:type="spellEnd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&gt;</w:t>
      </w: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. Esto permite interceptar las llamadas HTTP realizadas por el cliente </w:t>
      </w:r>
      <w:proofErr w:type="spellStart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HttpClient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.</w:t>
      </w:r>
    </w:p>
    <w:p w:rsidR="00F75B83" w:rsidRPr="00F75B83" w:rsidRDefault="00F75B83" w:rsidP="00F75B83">
      <w:pPr>
        <w:numPr>
          <w:ilvl w:val="1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Se configura el </w:t>
      </w:r>
      <w:proofErr w:type="spellStart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mock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del manejador de mensajes utilizando el método </w:t>
      </w:r>
      <w:proofErr w:type="spellStart"/>
      <w:proofErr w:type="gram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Protected</w:t>
      </w:r>
      <w:proofErr w:type="spellEnd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(</w:t>
      </w:r>
      <w:proofErr w:type="gramEnd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).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Setup</w:t>
      </w:r>
      <w:proofErr w:type="spellEnd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&lt;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Task</w:t>
      </w:r>
      <w:proofErr w:type="spellEnd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&lt;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HttpResponseMessage</w:t>
      </w:r>
      <w:proofErr w:type="spellEnd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&gt;&gt;("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SendAsync</w:t>
      </w:r>
      <w:proofErr w:type="spellEnd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", ...)</w:t>
      </w: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. Esto establece que cuando se llame al método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SendAsync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del cliente </w:t>
      </w:r>
      <w:proofErr w:type="spellStart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HttpClient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(que se utiliza internamente en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ApiService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), en lugar de realizar una solicitud real, se devolverá la respuesta simulada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mockResponse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.</w:t>
      </w:r>
    </w:p>
    <w:p w:rsidR="00F75B83" w:rsidRDefault="00F75B83" w:rsidP="00F75B83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Configurando la Inyección de Dependencias</w:t>
      </w: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:</w:t>
      </w:r>
    </w:p>
    <w:p w:rsidR="005A6D2F" w:rsidRPr="00F75B83" w:rsidRDefault="005A6D2F" w:rsidP="005A6D2F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5A6D2F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drawing>
          <wp:inline distT="0" distB="0" distL="0" distR="0" wp14:anchorId="4BCFE613" wp14:editId="16C1E51E">
            <wp:extent cx="5400040" cy="3200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83" w:rsidRPr="00F75B83" w:rsidRDefault="00F75B83" w:rsidP="00F75B83">
      <w:pPr>
        <w:numPr>
          <w:ilvl w:val="1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Se agrega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ApiService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como un servicio transitorio en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serviceCollection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, pero en lugar de usar una instancia real de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HttpClient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, se le pasa una instancia que utiliza el </w:t>
      </w:r>
      <w:proofErr w:type="spellStart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mock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del manejador de mensajes HTTP creado anteriormente.</w:t>
      </w:r>
    </w:p>
    <w:p w:rsidR="00F75B83" w:rsidRPr="00F75B83" w:rsidRDefault="00F75B83" w:rsidP="00F75B83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Creando el Proveedor de Servicios</w:t>
      </w: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:</w:t>
      </w:r>
    </w:p>
    <w:p w:rsidR="00F75B83" w:rsidRPr="00F75B83" w:rsidRDefault="00F75B83" w:rsidP="00F75B83">
      <w:pPr>
        <w:numPr>
          <w:ilvl w:val="1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Se crea un proveedor de servicios (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serviceProvider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) a partir de la colección de servicios configurada. Esto es esencial para obtener una instancia de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ApiService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más adelante.</w:t>
      </w:r>
    </w:p>
    <w:p w:rsidR="00F75B83" w:rsidRDefault="00F75B83" w:rsidP="00F75B83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 xml:space="preserve">Obteniendo una Instancia de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ApiService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:</w:t>
      </w:r>
    </w:p>
    <w:p w:rsidR="00F75B83" w:rsidRPr="00F75B83" w:rsidRDefault="00F75B83" w:rsidP="00F75B83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drawing>
          <wp:inline distT="0" distB="0" distL="0" distR="0" wp14:anchorId="2A19A22C" wp14:editId="5273BE5F">
            <wp:extent cx="5382376" cy="476316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83" w:rsidRPr="00F75B83" w:rsidRDefault="00F75B83" w:rsidP="00F75B83">
      <w:pPr>
        <w:numPr>
          <w:ilvl w:val="1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Se obtiene una instancia de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IApiService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del proveedor de servicios. Dado que la configuración ahora utiliza el </w:t>
      </w:r>
      <w:proofErr w:type="spellStart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mock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del cliente </w:t>
      </w:r>
      <w:proofErr w:type="spellStart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HttpClient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, cuando se realicen solicitudes HTTP dentro de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ApiService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, se responderán con la respuesta simulada en lugar de realizar solicitudes reales a una API web.</w:t>
      </w:r>
    </w:p>
    <w:p w:rsidR="00F75B83" w:rsidRDefault="00F75B83" w:rsidP="00F75B83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Realizando la Prueba</w:t>
      </w: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:</w:t>
      </w:r>
    </w:p>
    <w:p w:rsidR="00F75B83" w:rsidRPr="00F75B83" w:rsidRDefault="00F75B83" w:rsidP="00F75B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drawing>
          <wp:inline distT="0" distB="0" distL="0" distR="0" wp14:anchorId="703461AB" wp14:editId="04C7B822">
            <wp:extent cx="4210638" cy="523948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83" w:rsidRPr="00F75B83" w:rsidRDefault="00F75B83" w:rsidP="00F75B83">
      <w:pPr>
        <w:numPr>
          <w:ilvl w:val="1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Dentro del bloque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Act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, se llama al método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GetMyModelsAsync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de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ApiService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para obtener los modelos simulados.</w:t>
      </w:r>
    </w:p>
    <w:p w:rsidR="00F75B83" w:rsidRDefault="00F75B83" w:rsidP="00F75B83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lastRenderedPageBreak/>
        <w:t>Assert</w:t>
      </w:r>
      <w:proofErr w:type="spellEnd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 xml:space="preserve"> (Afirmaciones)</w:t>
      </w: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:</w:t>
      </w:r>
    </w:p>
    <w:p w:rsidR="00F75B83" w:rsidRPr="00F75B83" w:rsidRDefault="00F75B83" w:rsidP="00F75B83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drawing>
          <wp:inline distT="0" distB="0" distL="0" distR="0" wp14:anchorId="1D4667EB" wp14:editId="6572397B">
            <wp:extent cx="5210902" cy="94310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83" w:rsidRPr="00F75B83" w:rsidRDefault="00F75B83" w:rsidP="00F75B83">
      <w:pPr>
        <w:numPr>
          <w:ilvl w:val="1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Se realizan afirmaciones para verificar si la respuesta de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GetMyModelsAsync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coincide con las expectativas definidas en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mockResponse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. En este caso, se verifica que la respuesta no sea nula, que contenga un elemento y que el título del primer elemento sea "Test </w:t>
      </w:r>
      <w:proofErr w:type="spellStart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Title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".</w:t>
      </w:r>
    </w:p>
    <w:p w:rsidR="00F75B83" w:rsidRPr="005A6D2F" w:rsidRDefault="00F75B83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</w:pPr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En resumen, este código utiliza un objeto </w:t>
      </w:r>
      <w:proofErr w:type="spellStart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>mock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para interceptar y simular las respuestas HTTP que se utilizan en la prueba de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ApiService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. Esto permite probar el método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GetMyModelsAsync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de </w:t>
      </w:r>
      <w:proofErr w:type="spellStart"/>
      <w:r w:rsidRPr="00F75B83">
        <w:rPr>
          <w:rFonts w:ascii="Segoe UI" w:eastAsia="Times New Roman" w:hAnsi="Segoe UI" w:cs="Segoe UI"/>
          <w:b/>
          <w:bCs/>
          <w:color w:val="0070C0"/>
          <w:sz w:val="24"/>
          <w:szCs w:val="24"/>
          <w:lang w:eastAsia="es-AR"/>
        </w:rPr>
        <w:t>ApiService</w:t>
      </w:r>
      <w:proofErr w:type="spellEnd"/>
      <w:r w:rsidRPr="00F75B83">
        <w:rPr>
          <w:rFonts w:ascii="Segoe UI" w:eastAsia="Times New Roman" w:hAnsi="Segoe UI" w:cs="Segoe UI"/>
          <w:color w:val="0070C0"/>
          <w:sz w:val="24"/>
          <w:szCs w:val="24"/>
          <w:lang w:eastAsia="es-AR"/>
        </w:rPr>
        <w:t xml:space="preserve"> de manera aislada y sin depender de una API web real.</w:t>
      </w:r>
    </w:p>
    <w:p w:rsid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8.4 Ejecutamos Test en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VSCode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en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linea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de consola.</w:t>
      </w:r>
    </w:p>
    <w:p w:rsidR="005A6D2F" w:rsidRDefault="005A6D2F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5A6D2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14ABF3E7" wp14:editId="296DEA6D">
            <wp:extent cx="3458058" cy="1247949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2F" w:rsidRPr="00CE7872" w:rsidRDefault="005A6D2F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5A6D2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018F6753" wp14:editId="345FD4E0">
            <wp:extent cx="5400040" cy="33756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2F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 xml:space="preserve">8.5 Hacerlo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falllar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, arreglarlo y volverlo a correr.</w:t>
      </w:r>
    </w:p>
    <w:p w:rsidR="005A6D2F" w:rsidRDefault="005A6D2F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5A6D2F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468B96A5" wp14:editId="04C09031">
            <wp:extent cx="5400040" cy="11518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A1" w:rsidRPr="00CE7872" w:rsidRDefault="006740A1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6740A1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575027C6" wp14:editId="000F3F29">
            <wp:extent cx="5400040" cy="13976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8.6 </w:t>
      </w:r>
      <w:bookmarkStart w:id="0" w:name="_GoBack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Modificar el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mock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para que devuelva una colección de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Posts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en un nuevo test verificar que la cantidad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devuelta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por el </w:t>
      </w:r>
      <w:proofErr w:type="spellStart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mock</w:t>
      </w:r>
      <w:proofErr w:type="spellEnd"/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coincida con la esperada en el nuevo test.</w:t>
      </w:r>
      <w:bookmarkEnd w:id="0"/>
    </w:p>
    <w:p w:rsidR="006740A1" w:rsidRPr="00CE7872" w:rsidRDefault="006740A1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:rsidR="00CE7872" w:rsidRPr="00CE7872" w:rsidRDefault="00CE7872" w:rsidP="00CE78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CE787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8.7 Detallar todo lo realizado en el entregable.</w:t>
      </w:r>
    </w:p>
    <w:p w:rsidR="00AE70FA" w:rsidRDefault="00CE7872" w:rsidP="00CE7872">
      <w:pPr>
        <w:shd w:val="clear" w:color="auto" w:fill="FFFFFF"/>
        <w:spacing w:before="240" w:after="240" w:line="240" w:lineRule="auto"/>
      </w:pPr>
      <w:r>
        <w:t xml:space="preserve"> </w:t>
      </w:r>
    </w:p>
    <w:sectPr w:rsidR="00AE7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73C7"/>
    <w:multiLevelType w:val="multilevel"/>
    <w:tmpl w:val="E9B2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F3E93"/>
    <w:multiLevelType w:val="multilevel"/>
    <w:tmpl w:val="7EEC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F29F2"/>
    <w:multiLevelType w:val="multilevel"/>
    <w:tmpl w:val="D724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8E47C9"/>
    <w:multiLevelType w:val="multilevel"/>
    <w:tmpl w:val="4E40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0948EB"/>
    <w:multiLevelType w:val="multilevel"/>
    <w:tmpl w:val="3520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0A1342"/>
    <w:multiLevelType w:val="multilevel"/>
    <w:tmpl w:val="FD64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AF2B63"/>
    <w:multiLevelType w:val="multilevel"/>
    <w:tmpl w:val="47F4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1F6624"/>
    <w:multiLevelType w:val="multilevel"/>
    <w:tmpl w:val="5D2E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9403F0"/>
    <w:multiLevelType w:val="multilevel"/>
    <w:tmpl w:val="878A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1A0B18"/>
    <w:multiLevelType w:val="hybridMultilevel"/>
    <w:tmpl w:val="6DA605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51"/>
    <w:rsid w:val="00000151"/>
    <w:rsid w:val="00495BE6"/>
    <w:rsid w:val="005A6D2F"/>
    <w:rsid w:val="006740A1"/>
    <w:rsid w:val="00AE70FA"/>
    <w:rsid w:val="00CE7872"/>
    <w:rsid w:val="00F7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63490-65F3-4D5D-BC98-95929183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E7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787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E78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7872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-c">
    <w:name w:val="pl-c"/>
    <w:basedOn w:val="Fuentedeprrafopredeter"/>
    <w:rsid w:val="00CE7872"/>
  </w:style>
  <w:style w:type="character" w:customStyle="1" w:styleId="pl-k">
    <w:name w:val="pl-k"/>
    <w:basedOn w:val="Fuentedeprrafopredeter"/>
    <w:rsid w:val="00CE7872"/>
  </w:style>
  <w:style w:type="character" w:customStyle="1" w:styleId="pl-smi">
    <w:name w:val="pl-smi"/>
    <w:basedOn w:val="Fuentedeprrafopredeter"/>
    <w:rsid w:val="00CE7872"/>
  </w:style>
  <w:style w:type="character" w:customStyle="1" w:styleId="pl-kos">
    <w:name w:val="pl-kos"/>
    <w:basedOn w:val="Fuentedeprrafopredeter"/>
    <w:rsid w:val="00CE7872"/>
  </w:style>
  <w:style w:type="character" w:customStyle="1" w:styleId="pl-en">
    <w:name w:val="pl-en"/>
    <w:basedOn w:val="Fuentedeprrafopredeter"/>
    <w:rsid w:val="00CE7872"/>
  </w:style>
  <w:style w:type="character" w:customStyle="1" w:styleId="pl-s1">
    <w:name w:val="pl-s1"/>
    <w:basedOn w:val="Fuentedeprrafopredeter"/>
    <w:rsid w:val="00CE7872"/>
  </w:style>
  <w:style w:type="character" w:customStyle="1" w:styleId="pl-v">
    <w:name w:val="pl-v"/>
    <w:basedOn w:val="Fuentedeprrafopredeter"/>
    <w:rsid w:val="00CE7872"/>
  </w:style>
  <w:style w:type="character" w:customStyle="1" w:styleId="pl-c1">
    <w:name w:val="pl-c1"/>
    <w:basedOn w:val="Fuentedeprrafopredeter"/>
    <w:rsid w:val="00CE7872"/>
  </w:style>
  <w:style w:type="character" w:customStyle="1" w:styleId="pl-s">
    <w:name w:val="pl-s"/>
    <w:basedOn w:val="Fuentedeprrafopredeter"/>
    <w:rsid w:val="00CE7872"/>
  </w:style>
  <w:style w:type="character" w:styleId="nfasis">
    <w:name w:val="Emphasis"/>
    <w:basedOn w:val="Fuentedeprrafopredeter"/>
    <w:uiPriority w:val="20"/>
    <w:qFormat/>
    <w:rsid w:val="00CE7872"/>
    <w:rPr>
      <w:i/>
      <w:iCs/>
    </w:rPr>
  </w:style>
  <w:style w:type="character" w:styleId="Textoennegrita">
    <w:name w:val="Strong"/>
    <w:basedOn w:val="Fuentedeprrafopredeter"/>
    <w:uiPriority w:val="22"/>
    <w:qFormat/>
    <w:rsid w:val="00CE7872"/>
    <w:rPr>
      <w:b/>
      <w:bCs/>
    </w:rPr>
  </w:style>
  <w:style w:type="character" w:customStyle="1" w:styleId="pl-pds">
    <w:name w:val="pl-pds"/>
    <w:basedOn w:val="Fuentedeprrafopredeter"/>
    <w:rsid w:val="00CE7872"/>
  </w:style>
  <w:style w:type="paragraph" w:styleId="Prrafodelista">
    <w:name w:val="List Paragraph"/>
    <w:basedOn w:val="Normal"/>
    <w:uiPriority w:val="34"/>
    <w:qFormat/>
    <w:rsid w:val="0049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4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6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1169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2023-10-03T18:13:00Z</dcterms:created>
  <dcterms:modified xsi:type="dcterms:W3CDTF">2023-10-03T19:09:00Z</dcterms:modified>
</cp:coreProperties>
</file>