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DefaultParagraphFont1"/>
        <w:spacing w:after="120"/>
        <w:jc w:val="center"/>
      </w:pPr>
      <w:r>
        <w:rPr>
          <w:b w:val="0"/>
          <w:i w:val="0"/>
        </w:rPr>
        <w:t>Comparación de Red Neuronal Artificial y Random Forest para la Detección de Anemia: Un Estudio Empírico sobre Separabilidad Clínica</w:t>
      </w:r>
    </w:p>
    <w:p>
      <w:pPr>
        <w:pStyle w:val="IEEEAuthorAffiliation"/>
        <w:spacing w:after="240"/>
        <w:jc w:val="center"/>
      </w:pPr>
      <w:r>
        <w:rPr>
          <w:b w:val="0"/>
          <w:i w:val="0"/>
        </w:rPr>
        <w:t>Autores del Proyecto — Universidad Nacional Tecnológica de Lima Sur (UNTELS)</w:t>
      </w:r>
    </w:p>
    <w:p>
      <w:pPr>
        <w:pStyle w:val="AbstractandKeywords"/>
        <w:spacing w:after="80"/>
        <w:jc w:val="both"/>
      </w:pPr>
      <w:r>
        <w:rPr>
          <w:b w:val="0"/>
          <w:i w:val="0"/>
        </w:rPr>
        <w:t>Abstract– La anemia es una condición hematológica de alta prevalencia mundial que puede diagnosticarse con precisión a partir de indicadores sanguíneos como la hemoglobina, el MCH, el MCHC y el MCV. En este trabajo se comparan dos enfoques de aprendizaje automático para su detección: una Red Neuronal Artificial (RNA) con regularización Dropout y L2, y un Random Forest (RF) de 100 estimadores. Ambos modelos se entrenaron con el conjunto de datos público Anemia Dataset (1,421 registros, 5 variables) dividido en 80% entrenamiento y 20% prueba. Los resultados revelan que el dataset presenta separabilidad lineal casi perfecta, con 0% de ambigüedad entre clases medida sobre perfiles únicos de variables. En consecuencia, ambos modelos alcanzaron métricas perfectas en el conjunto de prueba (Accuracy = 1.0000, AUC-ROC = 1.0000, F1 = 1.0000). Se analiza el fenómeno de alta confianza predictiva, se aplica Temperature Scaling (T=3.5) a la RNA para calibrar probabilidades de salida, y se comparan las diferencias arquitectónicas, interpretabilidad y costo computacional de ambos enfoques.</w:t>
      </w:r>
    </w:p>
    <w:p>
      <w:pPr>
        <w:pStyle w:val="AbstractandKeywords"/>
        <w:spacing w:after="200"/>
        <w:jc w:val="both"/>
      </w:pPr>
      <w:r>
        <w:rPr>
          <w:b w:val="0"/>
          <w:i w:val="0"/>
        </w:rPr>
        <w:t>Keywords— Anemia, Red Neuronal Artificial, Random Forest, Machine Learning, Clasificación Binaria, Temperature Scaling, Separabilidad de Clases.</w:t>
      </w:r>
    </w:p>
    <w:p>
      <w:pPr>
        <w:pStyle w:val="Ttulo1"/>
        <w:spacing w:after="80" w:before="120"/>
        <w:jc w:val="both"/>
      </w:pPr>
      <w:r>
        <w:rPr>
          <w:b w:val="0"/>
          <w:i w:val="0"/>
        </w:rPr>
        <w:t>I.  Introducción</w:t>
      </w:r>
    </w:p>
    <w:p>
      <w:pPr>
        <w:spacing w:after="120"/>
        <w:jc w:val="both"/>
      </w:pPr>
      <w:r>
        <w:rPr>
          <w:b w:val="0"/>
          <w:i w:val="0"/>
        </w:rPr>
        <w:t>La anemia afecta aproximadamente al 24.8% de la población mundial, según la Organización Mundial de la Salud (OMS) [1]. Su diagnóstico clínico se basa en la medición de indicadores eritrocitarios: hemoglobina (Hgb), hemoglobina corpuscular media (MCH), concentración de hemoglobina corpuscular media (MCHC) y volumen corpuscular medio (MCV). La disponibilidad de datasets clínicos etiquetados abre la posibilidad de construir sistemas de predicción automática que apoyen el diagnóstico.</w:t>
      </w:r>
    </w:p>
    <w:p>
      <w:pPr>
        <w:spacing w:after="120"/>
        <w:jc w:val="both"/>
      </w:pPr>
      <w:r>
        <w:rPr>
          <w:b w:val="0"/>
          <w:i w:val="0"/>
        </w:rPr>
        <w:t>Este trabajo tiene como objetivo comparar empíricamente dos paradigmas de aprendizaje automático supervisado para la clasificación binaria de anemia: (1) una Red Neuronal Artificial (RNA) multicapa con mecanismos de regularización, y (2) un ensamble de Árboles de Decisión mediante Random Forest (RF). Ambos modelos son evaluados sobre el mismo conjunto de prueba con métricas estándar y se analizan sus fortalezas, limitaciones y comportamiento frente a datos de alta separabilidad.</w:t>
      </w:r>
    </w:p>
    <w:p>
      <w:pPr>
        <w:pStyle w:val="Ttulo1"/>
        <w:spacing w:after="80" w:before="160"/>
        <w:jc w:val="both"/>
      </w:pPr>
      <w:r>
        <w:rPr>
          <w:b w:val="0"/>
          <w:i w:val="0"/>
        </w:rPr>
        <w:t>II.  Materiales y Métodos</w:t>
      </w:r>
    </w:p>
    <w:p>
      <w:pPr>
        <w:pStyle w:val="Ttulo2"/>
        <w:spacing w:after="80"/>
        <w:jc w:val="both"/>
      </w:pPr>
      <w:r>
        <w:rPr>
          <w:b w:val="0"/>
          <w:i w:val="0"/>
        </w:rPr>
        <w:t>A.</w:t>
        <w:tab/>
        <w:t>Dataset y Preprocesamiento</w:t>
      </w:r>
    </w:p>
    <w:p>
      <w:pPr>
        <w:spacing w:after="120"/>
        <w:jc w:val="both"/>
      </w:pPr>
      <w:r>
        <w:rPr>
          <w:b w:val="0"/>
          <w:i w:val="0"/>
        </w:rPr>
        <w:t>Se utilizó el Anemia Dataset, un conjunto de datos público con 1421 registros de pacientes clasificados como anémicos (1) o no anémicos (0). La distribución de clases es: 801 casos negativos (56.4%) y 620 positivos (43.6%). Las variables predictoras son: Gender (binario), Hemoglobin (g/dL), MCH (pg), MCHC (g/dL) y MCV (fL). La variable objetivo es Result (0/1).</w:t>
      </w:r>
    </w:p>
    <w:p>
      <w:pPr>
        <w:spacing w:after="120"/>
        <w:jc w:val="both"/>
      </w:pPr>
      <w:r>
        <w:rPr>
          <w:b w:val="0"/>
          <w:i w:val="0"/>
        </w:rPr>
        <w:t>El dataset se dividió en 1136 muestras de entrenamiento (80%) y 285 de prueba (20%), con estratificación para preservar la proporción de clases. Los valores nulos se imputaron con la mediana de cada columna. Para la RNA, los datos se normalizaron con StandardScaler ajustado exclusivamente sobre el conjunto de entrenamiento.</w:t>
      </w:r>
    </w:p>
    <w:p>
      <w:pPr>
        <w:pStyle w:val="Ttulo2"/>
        <w:spacing w:after="80"/>
        <w:jc w:val="both"/>
      </w:pPr>
      <w:r>
        <w:rPr>
          <w:b w:val="0"/>
          <w:i w:val="0"/>
        </w:rPr>
        <w:t>B.</w:t>
        <w:tab/>
        <w:t>Red Neuronal Artificial (RNA)</w:t>
      </w:r>
    </w:p>
    <w:p>
      <w:pPr>
        <w:spacing w:after="120"/>
        <w:jc w:val="both"/>
      </w:pPr>
      <w:r>
        <w:rPr>
          <w:b w:val="0"/>
          <w:i w:val="0"/>
        </w:rPr>
        <w:t>Se implementó una RNA secuencial con la arquitectura Dense(64, ReLU) → Dropout(0.3) → Dense(32, ReLU, L2=0.001) → Dropout(0.2) → Dense(16, ReLU) → Dense(1, Sigmoid). La función de pérdida utilizada fue binary crossentropy con el optimizador Adam. El entrenamiento se realizó con un máximo de 150 épocas, batch size de 32, y EarlyStopping (patience=20) monitoreando val_loss con restauración de los mejores pesos. Se aplicó Temperature Scaling (T=3.5) post-entrenamiento en producción para calibrar las probabilidades de salida y evitar predicciones saturadas en los extremos 0% o 100%.</w:t>
      </w:r>
    </w:p>
    <w:p>
      <w:pPr>
        <w:pStyle w:val="Ttulo2"/>
        <w:spacing w:after="80"/>
        <w:jc w:val="both"/>
      </w:pPr>
      <w:r>
        <w:rPr>
          <w:b w:val="0"/>
          <w:i w:val="0"/>
        </w:rPr>
        <w:t>C.</w:t>
        <w:tab/>
        <w:t>Random Forest (RF)</w:t>
      </w:r>
    </w:p>
    <w:p>
      <w:pPr>
        <w:spacing w:after="120"/>
        <w:jc w:val="both"/>
      </w:pPr>
      <w:r>
        <w:rPr>
          <w:b w:val="0"/>
          <w:i w:val="0"/>
        </w:rPr>
        <w:t>Se entrenó un RandomForestClassifier con 100 estimadores, profundidad máxima de 6 niveles, min_samples_split=10, min_samples_leaf=5 y class_weight='balanced'. El RF no requiere normalización de datos. Cada árbol se entrena sobre una muestra bootstrap del conjunto de entrenamiento, y la predicción final es el promedio de probabilidades de los 100 árboles. Esta arquitectura de ensamble produce naturalmente probabilidades más distribuidas que un árbol de decisión individual.</w:t>
      </w:r>
    </w:p>
    <w:p>
      <w:pPr>
        <w:pStyle w:val="Ttulo2"/>
        <w:spacing w:after="80"/>
        <w:jc w:val="both"/>
      </w:pPr>
      <w:r>
        <w:rPr>
          <w:b w:val="0"/>
          <w:i w:val="0"/>
        </w:rPr>
        <w:t>D.</w:t>
        <w:tab/>
        <w:t>Métricas de Evaluación</w:t>
      </w:r>
    </w:p>
    <w:p>
      <w:pPr>
        <w:spacing w:after="160"/>
        <w:jc w:val="both"/>
      </w:pPr>
      <w:r>
        <w:rPr>
          <w:b w:val="0"/>
          <w:i w:val="0"/>
        </w:rPr>
        <w:t>Los modelos fueron evaluados con: Accuracy, Precision, Recall (Sensibilidad), F1-Score y AUC-ROC. Se reportan métricas individuales para cada clase (No anémico = 0, Anémico = 1) y la matriz de confusión completa.</w:t>
      </w:r>
    </w:p>
    <w:p>
      <w:pPr>
        <w:pStyle w:val="Ttulo1"/>
        <w:spacing w:after="80" w:before="160"/>
        <w:jc w:val="both"/>
      </w:pPr>
      <w:r>
        <w:rPr>
          <w:b w:val="0"/>
          <w:i w:val="0"/>
        </w:rPr>
        <w:t>III.  Resultados</w:t>
      </w:r>
    </w:p>
    <w:p>
      <w:pPr>
        <w:pStyle w:val="Ttulo2"/>
        <w:spacing w:after="80"/>
        <w:jc w:val="both"/>
      </w:pPr>
      <w:r>
        <w:rPr>
          <w:b w:val="0"/>
          <w:i w:val="0"/>
        </w:rPr>
        <w:t>A.</w:t>
        <w:tab/>
        <w:t>Métricas Globales de Rendimiento</w:t>
      </w:r>
    </w:p>
    <w:p>
      <w:pPr>
        <w:spacing w:after="120"/>
        <w:jc w:val="both"/>
      </w:pPr>
      <w:r>
        <w:rPr>
          <w:b w:val="0"/>
          <w:i w:val="0"/>
        </w:rPr>
        <w:t>La Tabla I presenta un resumen comparativo de las métricas globales de ambos modelos sobre el conjunto de prueba (n=285).</w:t>
      </w:r>
    </w:p>
    <w:p>
      <w:pPr>
        <w:pStyle w:val="TableCaption"/>
        <w:spacing w:after="0"/>
        <w:jc w:val="center"/>
      </w:pPr>
      <w:r>
        <w:rPr>
          <w:b w:val="0"/>
          <w:i w:val="0"/>
        </w:rPr>
        <w:t>TABLE I</w:t>
      </w:r>
    </w:p>
    <w:p>
      <w:pPr>
        <w:pStyle w:val="TableCaption"/>
        <w:spacing w:after="80"/>
        <w:jc w:val="center"/>
      </w:pPr>
      <w:r>
        <w:rPr>
          <w:b w:val="0"/>
          <w:i w:val="0"/>
        </w:rPr>
        <w:t>Comparación de Métricas Globales — Conjunto de Prueba (n=285)</w:t>
      </w:r>
    </w:p>
    <w:tbl>
      <w:tblPr>
        <w:tblStyle w:val="Tablaconcuadrcula"/>
        <w:tblW w:type="auto" w:w="0"/>
        <w:tblLook w:firstColumn="1" w:firstRow="1" w:lastColumn="0" w:lastRow="0" w:noHBand="0" w:noVBand="1" w:val="04A0"/>
      </w:tblPr>
      <w:tblGrid>
        <w:gridCol w:w="2088"/>
        <w:gridCol w:w="2088"/>
        <w:gridCol w:w="2088"/>
        <w:gridCol w:w="2088"/>
        <w:gridCol w:w="2088"/>
      </w:tblGrid>
      <w:tr>
        <w:tc>
          <w:tcPr>
            <w:tcW w:type="dxa" w:w="2088"/>
            <w:shd w:val="clear" w:color="auto" w:fill="1F386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8"/>
              </w:rPr>
              <w:t>Métrica</w:t>
            </w:r>
          </w:p>
        </w:tc>
        <w:tc>
          <w:tcPr>
            <w:tcW w:type="dxa" w:w="2088"/>
            <w:shd w:val="clear" w:color="auto" w:fill="1F386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8"/>
              </w:rPr>
              <w:t>RNA</w:t>
            </w:r>
          </w:p>
        </w:tc>
        <w:tc>
          <w:tcPr>
            <w:tcW w:type="dxa" w:w="2088"/>
            <w:shd w:val="clear" w:color="auto" w:fill="1F386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8"/>
              </w:rPr>
              <w:t>RF</w:t>
            </w:r>
          </w:p>
        </w:tc>
        <w:tc>
          <w:tcPr>
            <w:tcW w:type="dxa" w:w="2088"/>
            <w:shd w:val="clear" w:color="auto" w:fill="1F386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8"/>
              </w:rPr>
              <w:t>Diferencia</w:t>
            </w:r>
          </w:p>
        </w:tc>
        <w:tc>
          <w:tcPr>
            <w:tcW w:type="dxa" w:w="2088"/>
            <w:shd w:val="clear" w:color="auto" w:fill="1F386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8"/>
              </w:rPr>
              <w:t>Mejor</w:t>
            </w:r>
          </w:p>
        </w:tc>
      </w:tr>
      <w:tr>
        <w:tc>
          <w:tcPr>
            <w:tcW w:type="dxa" w:w="2088"/>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8"/>
              </w:rPr>
              <w:t>Accuracy</w:t>
            </w:r>
          </w:p>
        </w:tc>
        <w:tc>
          <w:tcPr>
            <w:tcW w:type="dxa" w:w="2088"/>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8"/>
              </w:rPr>
              <w:t>100.00%</w:t>
            </w:r>
          </w:p>
        </w:tc>
        <w:tc>
          <w:tcPr>
            <w:tcW w:type="dxa" w:w="2088"/>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8"/>
              </w:rPr>
              <w:t>100.00%</w:t>
            </w:r>
          </w:p>
        </w:tc>
        <w:tc>
          <w:tcPr>
            <w:tcW w:type="dxa" w:w="2088"/>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8"/>
              </w:rPr>
              <w:t>0.00%</w:t>
            </w:r>
          </w:p>
        </w:tc>
        <w:tc>
          <w:tcPr>
            <w:tcW w:type="dxa" w:w="2088"/>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8"/>
              </w:rPr>
              <w:t>Empate</w:t>
            </w:r>
          </w:p>
        </w:tc>
      </w:tr>
      <w:tr>
        <w:tc>
          <w:tcPr>
            <w:tcW w:type="dxa" w:w="2088"/>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8"/>
              </w:rPr>
              <w:t>AUC-ROC</w:t>
            </w:r>
          </w:p>
        </w:tc>
        <w:tc>
          <w:tcPr>
            <w:tcW w:type="dxa" w:w="2088"/>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8"/>
              </w:rPr>
              <w:t>1.0000</w:t>
            </w:r>
          </w:p>
        </w:tc>
        <w:tc>
          <w:tcPr>
            <w:tcW w:type="dxa" w:w="2088"/>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8"/>
              </w:rPr>
              <w:t>1.0000</w:t>
            </w:r>
          </w:p>
        </w:tc>
        <w:tc>
          <w:tcPr>
            <w:tcW w:type="dxa" w:w="2088"/>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8"/>
              </w:rPr>
              <w:t>0.0000</w:t>
            </w:r>
          </w:p>
        </w:tc>
        <w:tc>
          <w:tcPr>
            <w:tcW w:type="dxa" w:w="2088"/>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8"/>
              </w:rPr>
              <w:t>Empate</w:t>
            </w:r>
          </w:p>
        </w:tc>
      </w:tr>
    </w:tbl>
    <w:p/>
    <w:p>
      <w:pPr>
        <w:pStyle w:val="Ttulo2"/>
        <w:spacing w:after="80"/>
        <w:jc w:val="both"/>
      </w:pPr>
      <w:r>
        <w:rPr>
          <w:b w:val="0"/>
          <w:i w:val="0"/>
        </w:rPr>
        <w:t>A.</w:t>
        <w:tab/>
        <w:t>Métricas por Clase</w:t>
      </w:r>
    </w:p>
    <w:p>
      <w:pPr>
        <w:spacing w:after="120"/>
        <w:jc w:val="both"/>
      </w:pPr>
      <w:r>
        <w:rPr>
          <w:b w:val="0"/>
          <w:i w:val="0"/>
        </w:rPr>
        <w:t>La Tabla II desglosa Precision, Recall y F1-Score para cada clase, permitiendo identificar si algún modelo favorece detectar una clase sobre otra.</w:t>
      </w:r>
    </w:p>
    <w:p>
      <w:pPr>
        <w:pStyle w:val="TableCaption"/>
        <w:spacing w:after="0"/>
        <w:jc w:val="center"/>
      </w:pPr>
      <w:r>
        <w:rPr>
          <w:b w:val="0"/>
          <w:i w:val="0"/>
        </w:rPr>
        <w:t>TABLE II</w:t>
      </w:r>
    </w:p>
    <w:p>
      <w:pPr>
        <w:pStyle w:val="TableCaption"/>
        <w:spacing w:after="80"/>
        <w:jc w:val="center"/>
      </w:pPr>
      <w:r>
        <w:rPr>
          <w:b w:val="0"/>
          <w:i w:val="0"/>
        </w:rPr>
        <w:t>Métricas por Clase — Anémico (1) vs No Anémico (0)</w:t>
      </w:r>
    </w:p>
    <w:tbl>
      <w:tblPr>
        <w:tblStyle w:val="Tablaconcuadrcula"/>
        <w:tblW w:type="auto" w:w="0"/>
        <w:tblLook w:firstColumn="1" w:firstRow="1" w:lastColumn="0" w:lastRow="0" w:noHBand="0" w:noVBand="1" w:val="04A0"/>
      </w:tblPr>
      <w:tblGrid>
        <w:gridCol w:w="1491"/>
        <w:gridCol w:w="1491"/>
        <w:gridCol w:w="1491"/>
        <w:gridCol w:w="1491"/>
        <w:gridCol w:w="1491"/>
        <w:gridCol w:w="1491"/>
        <w:gridCol w:w="1491"/>
      </w:tblGrid>
      <w:tr>
        <w:tc>
          <w:tcPr>
            <w:tcW w:type="dxa" w:w="1491"/>
            <w:shd w:val="clear" w:color="auto" w:fill="1F386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6"/>
              </w:rPr>
              <w:t>Clase</w:t>
            </w:r>
          </w:p>
        </w:tc>
        <w:tc>
          <w:tcPr>
            <w:tcW w:type="dxa" w:w="1491"/>
            <w:shd w:val="clear" w:color="auto" w:fill="1F386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6"/>
              </w:rPr>
              <w:t>Modelo</w:t>
            </w:r>
          </w:p>
        </w:tc>
        <w:tc>
          <w:tcPr>
            <w:tcW w:type="dxa" w:w="1491"/>
            <w:shd w:val="clear" w:color="auto" w:fill="1F386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6"/>
              </w:rPr>
              <w:t>Precision</w:t>
            </w:r>
          </w:p>
        </w:tc>
        <w:tc>
          <w:tcPr>
            <w:tcW w:type="dxa" w:w="1491"/>
            <w:shd w:val="clear" w:color="auto" w:fill="1F386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6"/>
              </w:rPr>
              <w:t>Recall</w:t>
            </w:r>
          </w:p>
        </w:tc>
        <w:tc>
          <w:tcPr>
            <w:tcW w:type="dxa" w:w="1491"/>
            <w:shd w:val="clear" w:color="auto" w:fill="1F386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6"/>
              </w:rPr>
              <w:t>F1-Score</w:t>
            </w:r>
          </w:p>
        </w:tc>
        <w:tc>
          <w:tcPr>
            <w:tcW w:type="dxa" w:w="1491"/>
            <w:shd w:val="clear" w:color="auto" w:fill="1F386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6"/>
              </w:rPr>
              <w:t>Support</w:t>
            </w:r>
          </w:p>
        </w:tc>
        <w:tc>
          <w:tcPr>
            <w:tcW w:type="dxa" w:w="1491"/>
            <w:shd w:val="clear" w:color="auto" w:fill="1F386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6"/>
              </w:rPr>
              <w:t>Interpretación</w:t>
            </w:r>
          </w:p>
        </w:tc>
      </w:tr>
      <w:tr>
        <w:tc>
          <w:tcPr>
            <w:tcW w:type="dxa" w:w="1491"/>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No anémico (0)</w:t>
            </w:r>
          </w:p>
        </w:tc>
        <w:tc>
          <w:tcPr>
            <w:tcW w:type="dxa" w:w="1491"/>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RNA</w:t>
            </w:r>
          </w:p>
        </w:tc>
        <w:tc>
          <w:tcPr>
            <w:tcW w:type="dxa" w:w="1491"/>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100.00%</w:t>
            </w:r>
          </w:p>
        </w:tc>
        <w:tc>
          <w:tcPr>
            <w:tcW w:type="dxa" w:w="1491"/>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100.00%</w:t>
            </w:r>
          </w:p>
        </w:tc>
        <w:tc>
          <w:tcPr>
            <w:tcW w:type="dxa" w:w="1491"/>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100.00%</w:t>
            </w:r>
          </w:p>
        </w:tc>
        <w:tc>
          <w:tcPr>
            <w:tcW w:type="dxa" w:w="1491"/>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161</w:t>
            </w:r>
          </w:p>
        </w:tc>
        <w:tc>
          <w:tcPr>
            <w:tcW w:type="dxa" w:w="1491"/>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Sin FP ni FN</w:t>
            </w:r>
          </w:p>
        </w:tc>
      </w:tr>
      <w:tr>
        <w:tc>
          <w:tcPr>
            <w:tcW w:type="dxa" w:w="1491"/>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No anémico (0)</w:t>
            </w:r>
          </w:p>
        </w:tc>
        <w:tc>
          <w:tcPr>
            <w:tcW w:type="dxa" w:w="1491"/>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RF</w:t>
            </w:r>
          </w:p>
        </w:tc>
        <w:tc>
          <w:tcPr>
            <w:tcW w:type="dxa" w:w="1491"/>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100.00%</w:t>
            </w:r>
          </w:p>
        </w:tc>
        <w:tc>
          <w:tcPr>
            <w:tcW w:type="dxa" w:w="1491"/>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100.00%</w:t>
            </w:r>
          </w:p>
        </w:tc>
        <w:tc>
          <w:tcPr>
            <w:tcW w:type="dxa" w:w="1491"/>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100.00%</w:t>
            </w:r>
          </w:p>
        </w:tc>
        <w:tc>
          <w:tcPr>
            <w:tcW w:type="dxa" w:w="1491"/>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161</w:t>
            </w:r>
          </w:p>
        </w:tc>
        <w:tc>
          <w:tcPr>
            <w:tcW w:type="dxa" w:w="1491"/>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Sin FP ni FN</w:t>
            </w:r>
          </w:p>
        </w:tc>
      </w:tr>
      <w:tr>
        <w:tc>
          <w:tcPr>
            <w:tcW w:type="dxa" w:w="1491"/>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Anémico (1)</w:t>
            </w:r>
          </w:p>
        </w:tc>
        <w:tc>
          <w:tcPr>
            <w:tcW w:type="dxa" w:w="1491"/>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RNA</w:t>
            </w:r>
          </w:p>
        </w:tc>
        <w:tc>
          <w:tcPr>
            <w:tcW w:type="dxa" w:w="1491"/>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100.00%</w:t>
            </w:r>
          </w:p>
        </w:tc>
        <w:tc>
          <w:tcPr>
            <w:tcW w:type="dxa" w:w="1491"/>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100.00%</w:t>
            </w:r>
          </w:p>
        </w:tc>
        <w:tc>
          <w:tcPr>
            <w:tcW w:type="dxa" w:w="1491"/>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100.00%</w:t>
            </w:r>
          </w:p>
        </w:tc>
        <w:tc>
          <w:tcPr>
            <w:tcW w:type="dxa" w:w="1491"/>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124</w:t>
            </w:r>
          </w:p>
        </w:tc>
        <w:tc>
          <w:tcPr>
            <w:tcW w:type="dxa" w:w="1491"/>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Sin FP ni FN</w:t>
            </w:r>
          </w:p>
        </w:tc>
      </w:tr>
      <w:tr>
        <w:tc>
          <w:tcPr>
            <w:tcW w:type="dxa" w:w="1491"/>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Anémico (1)</w:t>
            </w:r>
          </w:p>
        </w:tc>
        <w:tc>
          <w:tcPr>
            <w:tcW w:type="dxa" w:w="1491"/>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RF</w:t>
            </w:r>
          </w:p>
        </w:tc>
        <w:tc>
          <w:tcPr>
            <w:tcW w:type="dxa" w:w="1491"/>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100.00%</w:t>
            </w:r>
          </w:p>
        </w:tc>
        <w:tc>
          <w:tcPr>
            <w:tcW w:type="dxa" w:w="1491"/>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100.00%</w:t>
            </w:r>
          </w:p>
        </w:tc>
        <w:tc>
          <w:tcPr>
            <w:tcW w:type="dxa" w:w="1491"/>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100.00%</w:t>
            </w:r>
          </w:p>
        </w:tc>
        <w:tc>
          <w:tcPr>
            <w:tcW w:type="dxa" w:w="1491"/>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124</w:t>
            </w:r>
          </w:p>
        </w:tc>
        <w:tc>
          <w:tcPr>
            <w:tcW w:type="dxa" w:w="1491"/>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Sin FP ni FN</w:t>
            </w:r>
          </w:p>
        </w:tc>
      </w:tr>
    </w:tbl>
    <w:p/>
    <w:p>
      <w:pPr>
        <w:pStyle w:val="Ttulo2"/>
        <w:spacing w:after="80"/>
        <w:jc w:val="both"/>
      </w:pPr>
      <w:r>
        <w:rPr>
          <w:b w:val="0"/>
          <w:i w:val="0"/>
        </w:rPr>
        <w:t>B.</w:t>
        <w:tab/>
        <w:t>Matrices de Confusión</w:t>
      </w:r>
    </w:p>
    <w:p>
      <w:pPr>
        <w:spacing w:after="120"/>
        <w:jc w:val="both"/>
      </w:pPr>
      <w:r>
        <w:rPr>
          <w:b w:val="0"/>
          <w:i w:val="0"/>
        </w:rPr>
        <w:t>Las Tablas III y IV presentan las matrices de confusión de ambos modelos. En el conjunto de prueba (285 muestras), la RNA y el RF producen matrices idénticas: cero falsos positivos y cero falsos negativos.</w:t>
      </w:r>
    </w:p>
    <w:p>
      <w:pPr>
        <w:pStyle w:val="TableCaption"/>
        <w:spacing w:after="0"/>
        <w:jc w:val="center"/>
      </w:pPr>
      <w:r>
        <w:rPr>
          <w:b w:val="0"/>
          <w:i w:val="0"/>
        </w:rPr>
        <w:t>TABLE III</w:t>
      </w:r>
    </w:p>
    <w:p>
      <w:pPr>
        <w:pStyle w:val="TableCaption"/>
        <w:spacing w:after="80"/>
        <w:jc w:val="center"/>
      </w:pPr>
      <w:r>
        <w:rPr>
          <w:b w:val="0"/>
          <w:i w:val="0"/>
        </w:rPr>
        <w:t>Matriz de Confusión — Red Neuronal (RNA)</w:t>
      </w:r>
    </w:p>
    <w:tbl>
      <w:tblPr>
        <w:tblStyle w:val="Tablaconcuadrcula"/>
        <w:tblW w:type="auto" w:w="0"/>
        <w:tblLook w:firstColumn="1" w:firstRow="1" w:lastColumn="0" w:lastRow="0" w:noHBand="0" w:noVBand="1" w:val="04A0"/>
      </w:tblPr>
      <w:tblGrid>
        <w:gridCol w:w="3480"/>
        <w:gridCol w:w="3480"/>
        <w:gridCol w:w="3480"/>
      </w:tblGrid>
      <w:tr>
        <w:tc>
          <w:tcPr>
            <w:tcW w:type="dxa" w:w="3480"/>
            <w:shd w:val="clear" w:color="auto" w:fill="1F386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8"/>
              </w:rPr>
            </w:r>
          </w:p>
        </w:tc>
        <w:tc>
          <w:tcPr>
            <w:tcW w:type="dxa" w:w="3480"/>
            <w:shd w:val="clear" w:color="auto" w:fill="1F386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8"/>
              </w:rPr>
              <w:t>Pred: No anémico</w:t>
            </w:r>
          </w:p>
        </w:tc>
        <w:tc>
          <w:tcPr>
            <w:tcW w:type="dxa" w:w="3480"/>
            <w:shd w:val="clear" w:color="auto" w:fill="1F386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8"/>
              </w:rPr>
              <w:t>Pred: Anémico</w:t>
            </w:r>
          </w:p>
        </w:tc>
      </w:tr>
      <w:tr>
        <w:tc>
          <w:tcPr>
            <w:tcW w:type="dxa" w:w="3480"/>
            <w:shd w:val="clear" w:color="auto" w:fill="2E75B6"/>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8"/>
              </w:rPr>
              <w:t>Real: No anémico</w:t>
            </w:r>
          </w:p>
        </w:tc>
        <w:tc>
          <w:tcPr>
            <w:tcW w:type="dxa" w:w="3480"/>
            <w:shd w:val="clear" w:color="auto" w:fill="70AD47"/>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22"/>
              </w:rPr>
              <w:t>161</w:t>
            </w:r>
          </w:p>
        </w:tc>
        <w:tc>
          <w:tcPr>
            <w:tcW w:type="dxa" w:w="3480"/>
            <w:shd w:val="clear" w:color="auto" w:fill="C6EFCE"/>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22"/>
              </w:rPr>
              <w:t>0</w:t>
            </w:r>
          </w:p>
        </w:tc>
      </w:tr>
      <w:tr>
        <w:tc>
          <w:tcPr>
            <w:tcW w:type="dxa" w:w="3480"/>
            <w:shd w:val="clear" w:color="auto" w:fill="2E75B6"/>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8"/>
              </w:rPr>
              <w:t>Real: Anémico</w:t>
            </w:r>
          </w:p>
        </w:tc>
        <w:tc>
          <w:tcPr>
            <w:tcW w:type="dxa" w:w="3480"/>
            <w:shd w:val="clear" w:color="auto" w:fill="C6EFCE"/>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22"/>
              </w:rPr>
              <w:t>0</w:t>
            </w:r>
          </w:p>
        </w:tc>
        <w:tc>
          <w:tcPr>
            <w:tcW w:type="dxa" w:w="3480"/>
            <w:shd w:val="clear" w:color="auto" w:fill="70AD47"/>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22"/>
              </w:rPr>
              <w:t>124</w:t>
            </w:r>
          </w:p>
        </w:tc>
      </w:tr>
    </w:tbl>
    <w:p/>
    <w:p>
      <w:pPr>
        <w:pStyle w:val="TableCaption"/>
        <w:spacing w:after="0"/>
        <w:jc w:val="center"/>
      </w:pPr>
      <w:r>
        <w:rPr>
          <w:b w:val="0"/>
          <w:i w:val="0"/>
        </w:rPr>
        <w:t>TABLE IV</w:t>
      </w:r>
    </w:p>
    <w:p>
      <w:pPr>
        <w:pStyle w:val="TableCaption"/>
        <w:spacing w:after="80"/>
        <w:jc w:val="center"/>
      </w:pPr>
      <w:r>
        <w:rPr>
          <w:b w:val="0"/>
          <w:i w:val="0"/>
        </w:rPr>
        <w:t>Matriz de Confusión — Random Forest (RF)</w:t>
      </w:r>
    </w:p>
    <w:tbl>
      <w:tblPr>
        <w:tblStyle w:val="Tablaconcuadrcula"/>
        <w:tblW w:type="auto" w:w="0"/>
        <w:tblLook w:firstColumn="1" w:firstRow="1" w:lastColumn="0" w:lastRow="0" w:noHBand="0" w:noVBand="1" w:val="04A0"/>
      </w:tblPr>
      <w:tblGrid>
        <w:gridCol w:w="3480"/>
        <w:gridCol w:w="3480"/>
        <w:gridCol w:w="3480"/>
      </w:tblGrid>
      <w:tr>
        <w:tc>
          <w:tcPr>
            <w:tcW w:type="dxa" w:w="3480"/>
            <w:shd w:val="clear" w:color="auto" w:fill="1F386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8"/>
              </w:rPr>
            </w:r>
          </w:p>
        </w:tc>
        <w:tc>
          <w:tcPr>
            <w:tcW w:type="dxa" w:w="3480"/>
            <w:shd w:val="clear" w:color="auto" w:fill="1F386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8"/>
              </w:rPr>
              <w:t>Pred: No anémico</w:t>
            </w:r>
          </w:p>
        </w:tc>
        <w:tc>
          <w:tcPr>
            <w:tcW w:type="dxa" w:w="3480"/>
            <w:shd w:val="clear" w:color="auto" w:fill="1F386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8"/>
              </w:rPr>
              <w:t>Pred: Anémico</w:t>
            </w:r>
          </w:p>
        </w:tc>
      </w:tr>
      <w:tr>
        <w:tc>
          <w:tcPr>
            <w:tcW w:type="dxa" w:w="3480"/>
            <w:shd w:val="clear" w:color="auto" w:fill="2E75B6"/>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8"/>
              </w:rPr>
              <w:t>Real: No anémico</w:t>
            </w:r>
          </w:p>
        </w:tc>
        <w:tc>
          <w:tcPr>
            <w:tcW w:type="dxa" w:w="3480"/>
            <w:shd w:val="clear" w:color="auto" w:fill="70AD47"/>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22"/>
              </w:rPr>
              <w:t>161</w:t>
            </w:r>
          </w:p>
        </w:tc>
        <w:tc>
          <w:tcPr>
            <w:tcW w:type="dxa" w:w="3480"/>
            <w:shd w:val="clear" w:color="auto" w:fill="C6EFCE"/>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22"/>
              </w:rPr>
              <w:t>0</w:t>
            </w:r>
          </w:p>
        </w:tc>
      </w:tr>
      <w:tr>
        <w:tc>
          <w:tcPr>
            <w:tcW w:type="dxa" w:w="3480"/>
            <w:shd w:val="clear" w:color="auto" w:fill="2E75B6"/>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8"/>
              </w:rPr>
              <w:t>Real: Anémico</w:t>
            </w:r>
          </w:p>
        </w:tc>
        <w:tc>
          <w:tcPr>
            <w:tcW w:type="dxa" w:w="3480"/>
            <w:shd w:val="clear" w:color="auto" w:fill="C6EFCE"/>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22"/>
              </w:rPr>
              <w:t>0</w:t>
            </w:r>
          </w:p>
        </w:tc>
        <w:tc>
          <w:tcPr>
            <w:tcW w:type="dxa" w:w="3480"/>
            <w:shd w:val="clear" w:color="auto" w:fill="70AD47"/>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22"/>
              </w:rPr>
              <w:t>124</w:t>
            </w:r>
          </w:p>
        </w:tc>
      </w:tr>
    </w:tbl>
    <w:p/>
    <w:p>
      <w:pPr>
        <w:pStyle w:val="Ttulo1"/>
        <w:spacing w:after="80" w:before="160"/>
        <w:jc w:val="both"/>
      </w:pPr>
      <w:r>
        <w:rPr>
          <w:b w:val="0"/>
          <w:i w:val="0"/>
        </w:rPr>
        <w:t>IV.  Discusión</w:t>
      </w:r>
    </w:p>
    <w:p>
      <w:pPr>
        <w:spacing w:after="120"/>
        <w:jc w:val="both"/>
      </w:pPr>
      <w:r>
        <w:rPr>
          <w:b w:val="0"/>
          <w:i w:val="0"/>
        </w:rPr>
        <w:t>Los resultados obtenidos (Accuracy = AUC = F1 = 1.0000 para ambos modelos) reflejan directamente la naturaleza del dataset utilizado. Un análisis de separabilidad sobre los 534 perfiles de variables únicos reveló que el 0.0% presenta ambigüedad entre clases, lo que contrasta con el 23.9% de ambigüedad observado en el dataset del Titanic. Este fenómeno se debe a que la anemia es una condición definida clínicamente por umbrales numéricos fijos sobre la hemoglobina: cualquier algoritmo con suficiente capacidad aprenderá estos umbrales con precisión perfecta.</w:t>
      </w:r>
    </w:p>
    <w:p>
      <w:pPr>
        <w:spacing w:after="120"/>
        <w:jc w:val="both"/>
      </w:pPr>
      <w:r>
        <w:rPr>
          <w:b w:val="0"/>
          <w:i w:val="0"/>
        </w:rPr>
        <w:t>La importancia de variables del RF confirma el dominio de Hemoglobin (importancia=0.8492), seguida por Gender (0.0976), MCV (0.0204), MCH (0.0181) y MCHC (0.0148). Esto es consistente con el criterio diagnóstico de la OMS, que define la anemia principalmente por los niveles de hemoglobina.</w:t>
      </w:r>
    </w:p>
    <w:p>
      <w:pPr>
        <w:spacing w:after="120"/>
        <w:jc w:val="both"/>
      </w:pPr>
      <w:r>
        <w:rPr>
          <w:b w:val="0"/>
          <w:i w:val="0"/>
        </w:rPr>
        <w:t>Desde la perspectiva de producción, la RNA requirió Temperature Scaling (T=3.5) para evitar predicciones saturadas en 0% o 100%, produciendo probabilidades calibradas más informativas para el usuario clínico. El RF, al promediar 100 árboles, produce naturalmente probabilidades más distribuidas sin necesidad de calibración adicional.</w:t>
      </w:r>
    </w:p>
    <w:p>
      <w:pPr>
        <w:pStyle w:val="TableCaption"/>
        <w:spacing w:after="0"/>
        <w:jc w:val="center"/>
      </w:pPr>
      <w:r>
        <w:rPr>
          <w:b w:val="0"/>
          <w:i w:val="0"/>
        </w:rPr>
        <w:t>TABLE V</w:t>
      </w:r>
    </w:p>
    <w:p>
      <w:pPr>
        <w:pStyle w:val="TableCaption"/>
        <w:spacing w:after="80"/>
        <w:jc w:val="center"/>
      </w:pPr>
      <w:r>
        <w:rPr>
          <w:b w:val="0"/>
          <w:i w:val="0"/>
        </w:rPr>
        <w:t>Comparación Cualitativa — RNA vs Random Forest</w:t>
      </w:r>
    </w:p>
    <w:tbl>
      <w:tblPr>
        <w:tblStyle w:val="Tablaconcuadrcula"/>
        <w:tblW w:type="auto" w:w="0"/>
        <w:tblLook w:firstColumn="1" w:firstRow="1" w:lastColumn="0" w:lastRow="0" w:noHBand="0" w:noVBand="1" w:val="04A0"/>
      </w:tblPr>
      <w:tblGrid>
        <w:gridCol w:w="3480"/>
        <w:gridCol w:w="3480"/>
        <w:gridCol w:w="3480"/>
      </w:tblGrid>
      <w:tr>
        <w:tc>
          <w:tcPr>
            <w:tcW w:type="dxa" w:w="3480"/>
            <w:shd w:val="clear" w:color="auto" w:fill="1F386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8"/>
              </w:rPr>
              <w:t>Característica</w:t>
            </w:r>
          </w:p>
        </w:tc>
        <w:tc>
          <w:tcPr>
            <w:tcW w:type="dxa" w:w="3480"/>
            <w:shd w:val="clear" w:color="auto" w:fill="1F386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8"/>
              </w:rPr>
              <w:t>Red Neuronal (RNA)</w:t>
            </w:r>
          </w:p>
        </w:tc>
        <w:tc>
          <w:tcPr>
            <w:tcW w:type="dxa" w:w="3480"/>
            <w:shd w:val="clear" w:color="auto" w:fill="1F3864"/>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b/>
                <w:color w:val="FFFFFF"/>
                <w:sz w:val="18"/>
              </w:rPr>
              <w:t>Random Forest (RF)</w:t>
            </w:r>
          </w:p>
        </w:tc>
      </w:tr>
      <w:tr>
        <w:tc>
          <w:tcPr>
            <w:tcW w:type="dxa" w:w="3480"/>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left"/>
            </w:pPr>
            <w:r>
              <w:rPr>
                <w:b/>
                <w:sz w:val="16"/>
              </w:rPr>
              <w:t>Paradigma</w:t>
            </w:r>
          </w:p>
        </w:tc>
        <w:tc>
          <w:tcPr>
            <w:tcW w:type="dxa" w:w="3480"/>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Deep Learning (backpropagation)</w:t>
            </w:r>
          </w:p>
        </w:tc>
        <w:tc>
          <w:tcPr>
            <w:tcW w:type="dxa" w:w="3480"/>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Ensemble de Árboles de Decisión</w:t>
            </w:r>
          </w:p>
        </w:tc>
      </w:tr>
      <w:tr>
        <w:tc>
          <w:tcPr>
            <w:tcW w:type="dxa" w:w="3480"/>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left"/>
            </w:pPr>
            <w:r>
              <w:rPr>
                <w:b/>
                <w:sz w:val="16"/>
              </w:rPr>
              <w:t>Normalización requerida</w:t>
            </w:r>
          </w:p>
        </w:tc>
        <w:tc>
          <w:tcPr>
            <w:tcW w:type="dxa" w:w="3480"/>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Sí (StandardScaler)</w:t>
            </w:r>
          </w:p>
        </w:tc>
        <w:tc>
          <w:tcPr>
            <w:tcW w:type="dxa" w:w="3480"/>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No</w:t>
            </w:r>
          </w:p>
        </w:tc>
      </w:tr>
      <w:tr>
        <w:tc>
          <w:tcPr>
            <w:tcW w:type="dxa" w:w="3480"/>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left"/>
            </w:pPr>
            <w:r>
              <w:rPr>
                <w:b/>
                <w:sz w:val="16"/>
              </w:rPr>
              <w:t>Archivos generados</w:t>
            </w:r>
          </w:p>
        </w:tc>
        <w:tc>
          <w:tcPr>
            <w:tcW w:type="dxa" w:w="3480"/>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.h5 + .pkl (scaler)</w:t>
            </w:r>
          </w:p>
        </w:tc>
        <w:tc>
          <w:tcPr>
            <w:tcW w:type="dxa" w:w="3480"/>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.pkl (único)</w:t>
            </w:r>
          </w:p>
        </w:tc>
      </w:tr>
      <w:tr>
        <w:tc>
          <w:tcPr>
            <w:tcW w:type="dxa" w:w="3480"/>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left"/>
            </w:pPr>
            <w:r>
              <w:rPr>
                <w:b/>
                <w:sz w:val="16"/>
              </w:rPr>
              <w:t>Interpretabilidad</w:t>
            </w:r>
          </w:p>
        </w:tc>
        <w:tc>
          <w:tcPr>
            <w:tcW w:type="dxa" w:w="3480"/>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Baja (caja negra)</w:t>
            </w:r>
          </w:p>
        </w:tc>
        <w:tc>
          <w:tcPr>
            <w:tcW w:type="dxa" w:w="3480"/>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Media (feature_importances_)</w:t>
            </w:r>
          </w:p>
        </w:tc>
      </w:tr>
      <w:tr>
        <w:tc>
          <w:tcPr>
            <w:tcW w:type="dxa" w:w="3480"/>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left"/>
            </w:pPr>
            <w:r>
              <w:rPr>
                <w:b/>
                <w:sz w:val="16"/>
              </w:rPr>
              <w:t>Calibración de probabilidades</w:t>
            </w:r>
          </w:p>
        </w:tc>
        <w:tc>
          <w:tcPr>
            <w:tcW w:type="dxa" w:w="3480"/>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Temperature Scaling (T=3.5)</w:t>
            </w:r>
          </w:p>
        </w:tc>
        <w:tc>
          <w:tcPr>
            <w:tcW w:type="dxa" w:w="3480"/>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No requerida</w:t>
            </w:r>
          </w:p>
        </w:tc>
      </w:tr>
      <w:tr>
        <w:tc>
          <w:tcPr>
            <w:tcW w:type="dxa" w:w="3480"/>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left"/>
            </w:pPr>
            <w:r>
              <w:rPr>
                <w:b/>
                <w:sz w:val="16"/>
              </w:rPr>
              <w:t>Tiempo de entrenamiento</w:t>
            </w:r>
          </w:p>
        </w:tc>
        <w:tc>
          <w:tcPr>
            <w:tcW w:type="dxa" w:w="3480"/>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~2 min (150 épocas)</w:t>
            </w:r>
          </w:p>
        </w:tc>
        <w:tc>
          <w:tcPr>
            <w:tcW w:type="dxa" w:w="3480"/>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&lt; 10 segundos</w:t>
            </w:r>
          </w:p>
        </w:tc>
      </w:tr>
      <w:tr>
        <w:tc>
          <w:tcPr>
            <w:tcW w:type="dxa" w:w="3480"/>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left"/>
            </w:pPr>
            <w:r>
              <w:rPr>
                <w:b/>
                <w:sz w:val="16"/>
              </w:rPr>
              <w:t>Sobreajuste en datos separables</w:t>
            </w:r>
          </w:p>
        </w:tc>
        <w:tc>
          <w:tcPr>
            <w:tcW w:type="dxa" w:w="3480"/>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Sin Dropout: extremos 0%/100%</w:t>
            </w:r>
          </w:p>
        </w:tc>
        <w:tc>
          <w:tcPr>
            <w:tcW w:type="dxa" w:w="3480"/>
            <w:shd w:val="clear" w:color="auto" w:fill="D6E4F0"/>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Hojas puras mitigadas por ensamble</w:t>
            </w:r>
          </w:p>
        </w:tc>
      </w:tr>
      <w:tr>
        <w:tc>
          <w:tcPr>
            <w:tcW w:type="dxa" w:w="3480"/>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left"/>
            </w:pPr>
            <w:r>
              <w:rPr>
                <w:b/>
                <w:sz w:val="16"/>
              </w:rPr>
              <w:t>Accuracy en prueba</w:t>
            </w:r>
          </w:p>
        </w:tc>
        <w:tc>
          <w:tcPr>
            <w:tcW w:type="dxa" w:w="3480"/>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100.00%</w:t>
            </w:r>
          </w:p>
        </w:tc>
        <w:tc>
          <w:tcPr>
            <w:tcW w:type="dxa" w:w="3480"/>
            <w:shd w:val="clear" w:color="auto" w:fill="EBF5FB"/>
            <w:tcBorders>
              <w:top w:val="single" w:sz="4" w:space="0" w:color="9DC3E6"/>
              <w:left w:val="single" w:sz="4" w:space="0" w:color="9DC3E6"/>
              <w:bottom w:val="single" w:sz="4" w:space="0" w:color="9DC3E6"/>
              <w:right w:val="single" w:sz="4" w:space="0" w:color="9DC3E6"/>
              <w:insideH w:val="single" w:sz="4" w:space="0" w:color="9DC3E6"/>
              <w:insideV w:val="single" w:sz="4" w:space="0" w:color="9DC3E6"/>
            </w:tcBorders>
          </w:tcPr>
          <w:p>
            <w:pPr>
              <w:jc w:val="center"/>
            </w:pPr>
            <w:r>
              <w:rPr>
                <w:sz w:val="16"/>
              </w:rPr>
              <w:t>100.00%</w:t>
            </w:r>
          </w:p>
        </w:tc>
      </w:tr>
    </w:tbl>
    <w:p/>
    <w:p>
      <w:pPr>
        <w:pStyle w:val="Ttulo1"/>
        <w:spacing w:after="80" w:before="160"/>
        <w:jc w:val="both"/>
      </w:pPr>
      <w:r>
        <w:rPr>
          <w:b w:val="0"/>
          <w:i w:val="0"/>
        </w:rPr>
        <w:t>V.  Conclusiones</w:t>
      </w:r>
    </w:p>
    <w:p>
      <w:pPr>
        <w:spacing w:after="120"/>
        <w:jc w:val="both"/>
      </w:pPr>
      <w:r>
        <w:rPr>
          <w:b w:val="0"/>
          <w:i w:val="0"/>
        </w:rPr>
        <w:t>Ambos modelos (RNA y RF) alcanzaron rendimiento perfecto en el dataset de anemia, demostrando que los indicadores hematológicos disponibles son suficientes para clasificar la condición de forma determinística. La coincidencia de resultados entre paradigmas tan distintos es en sí misma un hallazgo relevante: sugiere que el problema de clasificación binaria de anemia no requiere modelos complejos para este dataset particular.</w:t>
      </w:r>
    </w:p>
    <w:p>
      <w:pPr>
        <w:spacing w:after="120"/>
        <w:jc w:val="both"/>
      </w:pPr>
      <w:r>
        <w:rPr>
          <w:b w:val="0"/>
          <w:i w:val="0"/>
        </w:rPr>
        <w:t>Sin embargo, las diferencias cualitativas entre los modelos son significativas. El RF ofrece mayor interpretabilidad (importancia de variables) y no requiere normalización ni calibración de probabilidades. La RNA, aunque más costosa computacionalmente, es más flexible y escalaría mejor a conjuntos de datos con mayor número de variables y relaciones no lineales complejas.</w:t>
      </w:r>
    </w:p>
    <w:p>
      <w:pPr>
        <w:spacing w:after="160"/>
        <w:jc w:val="both"/>
      </w:pPr>
      <w:r>
        <w:rPr>
          <w:b w:val="0"/>
          <w:i w:val="0"/>
        </w:rPr>
        <w:t>Como trabajo futuro se recomienda evaluar ambos modelos con datasets de anemia que incluyan mayor variedad de tipos (ferropénica, megaloblástica, hemolítica) y mayor ambigüedad entre clases, para medir la robustez real de cada enfoque ante escenarios diagnósticos menos determinísticos.</w:t>
      </w:r>
    </w:p>
    <w:p>
      <w:pPr>
        <w:spacing w:after="80" w:before="120"/>
        <w:jc w:val="both"/>
      </w:pPr>
      <w:r>
        <w:rPr>
          <w:b/>
          <w:i w:val="0"/>
        </w:rPr>
        <w:t>Referencias</w:t>
      </w:r>
    </w:p>
    <w:p>
      <w:pPr>
        <w:pStyle w:val="Referenceentry"/>
        <w:spacing w:after="40"/>
        <w:jc w:val="both"/>
      </w:pPr>
      <w:r>
        <w:rPr>
          <w:b w:val="0"/>
          <w:i w:val="0"/>
        </w:rPr>
        <w:t>[1] Organización Mundial de la Salud (OMS). Anaemia. https://www.who.int/health-topics/anaemia, 2023.</w:t>
      </w:r>
    </w:p>
    <w:p>
      <w:pPr>
        <w:pStyle w:val="Referenceentry"/>
        <w:spacing w:after="40"/>
        <w:jc w:val="both"/>
      </w:pPr>
      <w:r>
        <w:rPr>
          <w:b w:val="0"/>
          <w:i w:val="0"/>
        </w:rPr>
        <w:t>[2] Breiman, L. 'Random Forests.' Machine Learning 45, 5–32, 2001.</w:t>
      </w:r>
    </w:p>
    <w:p>
      <w:pPr>
        <w:pStyle w:val="Referenceentry"/>
        <w:spacing w:after="40"/>
        <w:jc w:val="both"/>
      </w:pPr>
      <w:r>
        <w:rPr>
          <w:b w:val="0"/>
          <w:i w:val="0"/>
        </w:rPr>
        <w:t>[3] LeCun, Y., Bengio, Y., &amp; Hinton, G. 'Deep learning.' Nature 521, 436–444, 2015.</w:t>
      </w:r>
    </w:p>
    <w:p>
      <w:pPr>
        <w:pStyle w:val="Referenceentry"/>
        <w:spacing w:after="40"/>
        <w:jc w:val="both"/>
      </w:pPr>
      <w:r>
        <w:rPr>
          <w:b w:val="0"/>
          <w:i w:val="0"/>
        </w:rPr>
        <w:t>[4] Guo, C., et al. 'On Calibration of Modern Neural Networks.' ICML 2017.</w:t>
      </w:r>
    </w:p>
    <w:p>
      <w:pPr>
        <w:pStyle w:val="Referenceentry"/>
        <w:spacing w:after="40"/>
        <w:jc w:val="both"/>
      </w:pPr>
      <w:r>
        <w:rPr>
          <w:b w:val="0"/>
          <w:i w:val="0"/>
        </w:rPr>
        <w:t>[5] Pedregosa, F., et al. 'Scikit-learn: Machine Learning in Python.' JMLR 12, 2825–2830, 2011.</w:t>
      </w:r>
    </w:p>
    <w:p>
      <w:pPr>
        <w:pStyle w:val="Referenceentry"/>
        <w:spacing w:after="40"/>
        <w:jc w:val="both"/>
      </w:pPr>
      <w:r>
        <w:rPr>
          <w:b w:val="0"/>
          <w:i w:val="0"/>
        </w:rPr>
        <w:t>[6] Chollet, F. 'Keras: The Python Deep Learning library.' https://keras.io, 2015.</w:t>
      </w:r>
    </w:p>
    <w:sectPr w:rsidR="00085890" w:rsidRPr="00A66CC8" w:rsidSect="00F53E14">
      <w:type w:val="continuous"/>
      <w:pgSz w:w="12240" w:h="15840" w:code="1"/>
      <w:pgMar w:top="1080" w:right="900" w:bottom="1890" w:left="900" w:header="720" w:footer="72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2B989" w14:textId="77777777" w:rsidR="00CF2A83" w:rsidRDefault="00CF2A83">
      <w:r>
        <w:separator/>
      </w:r>
    </w:p>
  </w:endnote>
  <w:endnote w:type="continuationSeparator" w:id="0">
    <w:p w14:paraId="31822990" w14:textId="77777777" w:rsidR="00CF2A83" w:rsidRDefault="00CF2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F51C" w14:textId="77777777" w:rsidR="00A35CE5" w:rsidRPr="008223B2" w:rsidRDefault="008B10B2" w:rsidP="00C138A8">
    <w:pPr>
      <w:pStyle w:val="Piedepgina"/>
      <w:tabs>
        <w:tab w:val="right" w:pos="10440"/>
      </w:tabs>
      <w:rPr>
        <w:i/>
        <w:sz w:val="16"/>
        <w:szCs w:val="18"/>
        <w:lang w:val="en-US"/>
      </w:rPr>
    </w:pPr>
    <w:r w:rsidRPr="000C71FA">
      <w:rPr>
        <w:sz w:val="14"/>
        <w:szCs w:val="14"/>
      </w:rPr>
      <w:t>.</w:t>
    </w:r>
    <w:r w:rsidR="00A35CE5" w:rsidRPr="000C71FA">
      <w:rPr>
        <w:sz w:val="14"/>
        <w:szCs w:val="14"/>
        <w:lang w:val="en-US"/>
      </w:rPr>
      <w:tab/>
    </w:r>
    <w:r w:rsidR="000C78B0" w:rsidRPr="000C71FA">
      <w:rPr>
        <w:sz w:val="14"/>
        <w:szCs w:val="14"/>
        <w:lang w:val="en-US"/>
      </w:rPr>
      <w:t xml:space="preserve"> </w:t>
    </w:r>
    <w:r w:rsidR="000C78B0" w:rsidRPr="000C71FA">
      <w:rPr>
        <w:sz w:val="14"/>
        <w:szCs w:val="14"/>
        <w:lang w:val="en-US"/>
      </w:rPr>
      <w:tab/>
    </w:r>
    <w:r w:rsidR="00A35CE5" w:rsidRPr="008223B2">
      <w:rPr>
        <w:sz w:val="16"/>
        <w:szCs w:val="16"/>
        <w:lang w:val="es-ES"/>
      </w:rPr>
      <w:fldChar w:fldCharType="begin"/>
    </w:r>
    <w:r w:rsidR="00A35CE5" w:rsidRPr="008223B2">
      <w:rPr>
        <w:sz w:val="16"/>
        <w:szCs w:val="16"/>
        <w:lang w:val="en-US"/>
      </w:rPr>
      <w:instrText xml:space="preserve"> PAGE   \* MERGEFORMAT </w:instrText>
    </w:r>
    <w:r w:rsidR="00A35CE5" w:rsidRPr="008223B2">
      <w:rPr>
        <w:sz w:val="16"/>
        <w:szCs w:val="16"/>
        <w:lang w:val="es-ES"/>
      </w:rPr>
      <w:fldChar w:fldCharType="separate"/>
    </w:r>
    <w:r w:rsidR="00E31CA8">
      <w:rPr>
        <w:noProof/>
        <w:sz w:val="16"/>
        <w:szCs w:val="16"/>
        <w:lang w:val="en-US"/>
      </w:rPr>
      <w:t>2</w:t>
    </w:r>
    <w:r w:rsidR="00A35CE5" w:rsidRPr="008223B2">
      <w:rPr>
        <w:noProof/>
        <w:sz w:val="16"/>
        <w:szCs w:val="16"/>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D185F" w14:textId="77777777" w:rsidR="00CF2A83" w:rsidRDefault="00CF2A83">
      <w:r>
        <w:separator/>
      </w:r>
    </w:p>
  </w:footnote>
  <w:footnote w:type="continuationSeparator" w:id="0">
    <w:p w14:paraId="25EACD68" w14:textId="77777777" w:rsidR="00CF2A83" w:rsidRDefault="00CF2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5213"/>
    <w:multiLevelType w:val="multilevel"/>
    <w:tmpl w:val="DCDC76EE"/>
    <w:lvl w:ilvl="0">
      <w:start w:val="1"/>
      <w:numFmt w:val="decimal"/>
      <w:lvlText w:val="%1."/>
      <w:lvlJc w:val="left"/>
      <w:pPr>
        <w:tabs>
          <w:tab w:val="num" w:pos="480"/>
        </w:tabs>
        <w:ind w:left="480" w:hanging="480"/>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1E427089"/>
    <w:multiLevelType w:val="hybridMultilevel"/>
    <w:tmpl w:val="E2404DD4"/>
    <w:lvl w:ilvl="0" w:tplc="C76AEB7E">
      <w:numFmt w:val="bullet"/>
      <w:lvlText w:val=""/>
      <w:lvlJc w:val="left"/>
      <w:pPr>
        <w:ind w:left="562" w:hanging="360"/>
      </w:pPr>
      <w:rPr>
        <w:rFonts w:ascii="Symbol" w:eastAsia="Times New Roman" w:hAnsi="Symbol" w:cs="Times New Roman" w:hint="default"/>
      </w:rPr>
    </w:lvl>
    <w:lvl w:ilvl="1" w:tplc="04090003" w:tentative="1">
      <w:start w:val="1"/>
      <w:numFmt w:val="bullet"/>
      <w:lvlText w:val="o"/>
      <w:lvlJc w:val="left"/>
      <w:pPr>
        <w:ind w:left="1282" w:hanging="360"/>
      </w:pPr>
      <w:rPr>
        <w:rFonts w:ascii="Courier New" w:hAnsi="Courier New" w:cs="Courier New" w:hint="default"/>
      </w:rPr>
    </w:lvl>
    <w:lvl w:ilvl="2" w:tplc="04090005" w:tentative="1">
      <w:start w:val="1"/>
      <w:numFmt w:val="bullet"/>
      <w:lvlText w:val=""/>
      <w:lvlJc w:val="left"/>
      <w:pPr>
        <w:ind w:left="2002" w:hanging="360"/>
      </w:pPr>
      <w:rPr>
        <w:rFonts w:ascii="Wingdings" w:hAnsi="Wingdings" w:hint="default"/>
      </w:rPr>
    </w:lvl>
    <w:lvl w:ilvl="3" w:tplc="04090001" w:tentative="1">
      <w:start w:val="1"/>
      <w:numFmt w:val="bullet"/>
      <w:lvlText w:val=""/>
      <w:lvlJc w:val="left"/>
      <w:pPr>
        <w:ind w:left="2722" w:hanging="360"/>
      </w:pPr>
      <w:rPr>
        <w:rFonts w:ascii="Symbol" w:hAnsi="Symbol" w:hint="default"/>
      </w:rPr>
    </w:lvl>
    <w:lvl w:ilvl="4" w:tplc="04090003" w:tentative="1">
      <w:start w:val="1"/>
      <w:numFmt w:val="bullet"/>
      <w:lvlText w:val="o"/>
      <w:lvlJc w:val="left"/>
      <w:pPr>
        <w:ind w:left="3442" w:hanging="360"/>
      </w:pPr>
      <w:rPr>
        <w:rFonts w:ascii="Courier New" w:hAnsi="Courier New" w:cs="Courier New" w:hint="default"/>
      </w:rPr>
    </w:lvl>
    <w:lvl w:ilvl="5" w:tplc="04090005" w:tentative="1">
      <w:start w:val="1"/>
      <w:numFmt w:val="bullet"/>
      <w:lvlText w:val=""/>
      <w:lvlJc w:val="left"/>
      <w:pPr>
        <w:ind w:left="4162" w:hanging="360"/>
      </w:pPr>
      <w:rPr>
        <w:rFonts w:ascii="Wingdings" w:hAnsi="Wingdings" w:hint="default"/>
      </w:rPr>
    </w:lvl>
    <w:lvl w:ilvl="6" w:tplc="04090001" w:tentative="1">
      <w:start w:val="1"/>
      <w:numFmt w:val="bullet"/>
      <w:lvlText w:val=""/>
      <w:lvlJc w:val="left"/>
      <w:pPr>
        <w:ind w:left="4882" w:hanging="360"/>
      </w:pPr>
      <w:rPr>
        <w:rFonts w:ascii="Symbol" w:hAnsi="Symbol" w:hint="default"/>
      </w:rPr>
    </w:lvl>
    <w:lvl w:ilvl="7" w:tplc="04090003" w:tentative="1">
      <w:start w:val="1"/>
      <w:numFmt w:val="bullet"/>
      <w:lvlText w:val="o"/>
      <w:lvlJc w:val="left"/>
      <w:pPr>
        <w:ind w:left="5602" w:hanging="360"/>
      </w:pPr>
      <w:rPr>
        <w:rFonts w:ascii="Courier New" w:hAnsi="Courier New" w:cs="Courier New" w:hint="default"/>
      </w:rPr>
    </w:lvl>
    <w:lvl w:ilvl="8" w:tplc="04090005" w:tentative="1">
      <w:start w:val="1"/>
      <w:numFmt w:val="bullet"/>
      <w:lvlText w:val=""/>
      <w:lvlJc w:val="left"/>
      <w:pPr>
        <w:ind w:left="6322" w:hanging="360"/>
      </w:pPr>
      <w:rPr>
        <w:rFonts w:ascii="Wingdings" w:hAnsi="Wingdings" w:hint="default"/>
      </w:rPr>
    </w:lvl>
  </w:abstractNum>
  <w:abstractNum w:abstractNumId="2" w15:restartNumberingAfterBreak="0">
    <w:nsid w:val="69907BEC"/>
    <w:multiLevelType w:val="hybridMultilevel"/>
    <w:tmpl w:val="6E2C0C22"/>
    <w:lvl w:ilvl="0" w:tplc="DB561C22">
      <w:start w:val="1"/>
      <w:numFmt w:val="decimal"/>
      <w:pStyle w:val="Referenceentry"/>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16cid:durableId="99689442">
    <w:abstractNumId w:val="2"/>
  </w:num>
  <w:num w:numId="2" w16cid:durableId="1933970239">
    <w:abstractNumId w:val="0"/>
  </w:num>
  <w:num w:numId="3" w16cid:durableId="10476054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bordersDoNotSurroundHeader/>
  <w:bordersDoNotSurroundFooter/>
  <w:activeWritingStyle w:appName="MSWord" w:lang="en-US" w:vendorID="64" w:dllVersion="6" w:nlCheck="1" w:checkStyle="1"/>
  <w:activeWritingStyle w:appName="MSWord" w:lang="en-AU" w:vendorID="64" w:dllVersion="6" w:nlCheck="1" w:checkStyle="1"/>
  <w:activeWritingStyle w:appName="MSWord" w:lang="en-GB" w:vendorID="64" w:dllVersion="6" w:nlCheck="1" w:checkStyle="1"/>
  <w:activeWritingStyle w:appName="MSWord" w:lang="es-ES" w:vendorID="64" w:dllVersion="6" w:nlCheck="1" w:checkStyle="1"/>
  <w:activeWritingStyle w:appName="MSWord" w:lang="en-US" w:vendorID="64" w:dllVersion="0" w:nlCheck="1" w:checkStyle="0"/>
  <w:activeWritingStyle w:appName="MSWord" w:lang="en-GB" w:vendorID="64" w:dllVersion="0" w:nlCheck="1" w:checkStyle="0"/>
  <w:activeWritingStyle w:appName="MSWord" w:lang="en-AU"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en-AU" w:vendorID="64" w:dllVersion="4096" w:nlCheck="1" w:checkStyle="0"/>
  <w:activeWritingStyle w:appName="MSWord" w:lang="es-PE"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46"/>
  <w:hyphenationZone w:val="425"/>
  <w:doNotHyphenateCaps/>
  <w:drawingGridHorizontalSpacing w:val="120"/>
  <w:drawingGridVerticalSpacing w:val="120"/>
  <w:displayHorizontalDrawingGridEvery w:val="0"/>
  <w:displayVerticalDrawingGridEvery w:val="0"/>
  <w:doNotUseMarginsForDrawingGridOrigin/>
  <w:doNotShadeFormData/>
  <w:characterSpacingControl w:val="doNotCompress"/>
  <w:noLineBreaksAfter w:lang="zh-TW" w:val="([{‘“‵〈《「『【〔〝︵︷︹︻︽︿﹁﹃﹙﹛﹝（｛￡￥"/>
  <w:noLineBreaksBefore w:lang="zh-TW" w:val="!),.:;?]}·–—’”‥…‧′╴、。〉》」』】〕〞︰︱︳︴︶︸︺︼︾﹀﹂﹄﹏﹐﹑﹒﹔﹕﹖﹗﹚﹜﹞！），．：；？｜｝￠"/>
  <w:hdrShapeDefaults>
    <o:shapedefaults v:ext="edit" spidmax="2051" fillcolor="white" stroke="f">
      <v:fill color="white"/>
      <v:stroke on="f"/>
    </o:shapedefaults>
  </w:hdrShapeDefaults>
  <w:footnotePr>
    <w:numFmt w:val="chicago"/>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BE0"/>
    <w:rsid w:val="00014D5B"/>
    <w:rsid w:val="000150FF"/>
    <w:rsid w:val="00031A82"/>
    <w:rsid w:val="00040A9C"/>
    <w:rsid w:val="00064A88"/>
    <w:rsid w:val="0007114A"/>
    <w:rsid w:val="00075059"/>
    <w:rsid w:val="00085890"/>
    <w:rsid w:val="0009329C"/>
    <w:rsid w:val="000A2504"/>
    <w:rsid w:val="000B3D72"/>
    <w:rsid w:val="000C71FA"/>
    <w:rsid w:val="000C78B0"/>
    <w:rsid w:val="000D636D"/>
    <w:rsid w:val="000F3607"/>
    <w:rsid w:val="00100085"/>
    <w:rsid w:val="00113360"/>
    <w:rsid w:val="00134578"/>
    <w:rsid w:val="00147DBE"/>
    <w:rsid w:val="001541FE"/>
    <w:rsid w:val="001746A0"/>
    <w:rsid w:val="0020684F"/>
    <w:rsid w:val="0022481D"/>
    <w:rsid w:val="00260E28"/>
    <w:rsid w:val="00263D89"/>
    <w:rsid w:val="00271FA8"/>
    <w:rsid w:val="0028224D"/>
    <w:rsid w:val="002A17F4"/>
    <w:rsid w:val="002B2ED5"/>
    <w:rsid w:val="00310AA7"/>
    <w:rsid w:val="00332A9E"/>
    <w:rsid w:val="003345DD"/>
    <w:rsid w:val="003465D7"/>
    <w:rsid w:val="00351E1E"/>
    <w:rsid w:val="00352487"/>
    <w:rsid w:val="003805EE"/>
    <w:rsid w:val="00382273"/>
    <w:rsid w:val="003A3337"/>
    <w:rsid w:val="003D3924"/>
    <w:rsid w:val="003F7D1A"/>
    <w:rsid w:val="00411A52"/>
    <w:rsid w:val="00430E31"/>
    <w:rsid w:val="004405D2"/>
    <w:rsid w:val="00455528"/>
    <w:rsid w:val="00490E53"/>
    <w:rsid w:val="00492EC5"/>
    <w:rsid w:val="004B1216"/>
    <w:rsid w:val="004B2F14"/>
    <w:rsid w:val="004B3687"/>
    <w:rsid w:val="004C62A3"/>
    <w:rsid w:val="004E6BE2"/>
    <w:rsid w:val="004F5FC6"/>
    <w:rsid w:val="005011C9"/>
    <w:rsid w:val="005055AD"/>
    <w:rsid w:val="005369ED"/>
    <w:rsid w:val="00547ABB"/>
    <w:rsid w:val="005617EF"/>
    <w:rsid w:val="005668CE"/>
    <w:rsid w:val="00591A35"/>
    <w:rsid w:val="005D2FC3"/>
    <w:rsid w:val="00607D64"/>
    <w:rsid w:val="006259A1"/>
    <w:rsid w:val="00655FD6"/>
    <w:rsid w:val="00666BE1"/>
    <w:rsid w:val="00683014"/>
    <w:rsid w:val="00687A45"/>
    <w:rsid w:val="006B6921"/>
    <w:rsid w:val="006E0A4A"/>
    <w:rsid w:val="007063DD"/>
    <w:rsid w:val="00707E84"/>
    <w:rsid w:val="00740650"/>
    <w:rsid w:val="00746B38"/>
    <w:rsid w:val="0079364C"/>
    <w:rsid w:val="007B6657"/>
    <w:rsid w:val="007C310A"/>
    <w:rsid w:val="007D251B"/>
    <w:rsid w:val="007D3BDB"/>
    <w:rsid w:val="007D5BA6"/>
    <w:rsid w:val="007F16BC"/>
    <w:rsid w:val="00813664"/>
    <w:rsid w:val="008223B2"/>
    <w:rsid w:val="0082392E"/>
    <w:rsid w:val="00824C38"/>
    <w:rsid w:val="008359F0"/>
    <w:rsid w:val="00861DB4"/>
    <w:rsid w:val="00891B98"/>
    <w:rsid w:val="008A58F7"/>
    <w:rsid w:val="008B10B2"/>
    <w:rsid w:val="008B341D"/>
    <w:rsid w:val="008D20D2"/>
    <w:rsid w:val="008D5CBE"/>
    <w:rsid w:val="008D6DA8"/>
    <w:rsid w:val="008F0D9A"/>
    <w:rsid w:val="0091531D"/>
    <w:rsid w:val="00930ECD"/>
    <w:rsid w:val="00934E8D"/>
    <w:rsid w:val="00935978"/>
    <w:rsid w:val="00956702"/>
    <w:rsid w:val="009614DA"/>
    <w:rsid w:val="00964252"/>
    <w:rsid w:val="009725D2"/>
    <w:rsid w:val="00986228"/>
    <w:rsid w:val="00996AB4"/>
    <w:rsid w:val="009A2E41"/>
    <w:rsid w:val="009B28ED"/>
    <w:rsid w:val="009C0E81"/>
    <w:rsid w:val="00A35CE5"/>
    <w:rsid w:val="00A66CC8"/>
    <w:rsid w:val="00A733F1"/>
    <w:rsid w:val="00A8258D"/>
    <w:rsid w:val="00A96BE0"/>
    <w:rsid w:val="00AE6984"/>
    <w:rsid w:val="00AF40A1"/>
    <w:rsid w:val="00B04B5A"/>
    <w:rsid w:val="00B12F1D"/>
    <w:rsid w:val="00B226E8"/>
    <w:rsid w:val="00B36857"/>
    <w:rsid w:val="00B37704"/>
    <w:rsid w:val="00B446B0"/>
    <w:rsid w:val="00B60166"/>
    <w:rsid w:val="00B66347"/>
    <w:rsid w:val="00B941C0"/>
    <w:rsid w:val="00BA3519"/>
    <w:rsid w:val="00BB5342"/>
    <w:rsid w:val="00C01ECD"/>
    <w:rsid w:val="00C138A8"/>
    <w:rsid w:val="00C16633"/>
    <w:rsid w:val="00C16E2F"/>
    <w:rsid w:val="00C17519"/>
    <w:rsid w:val="00C3040F"/>
    <w:rsid w:val="00C33CBA"/>
    <w:rsid w:val="00C45E9E"/>
    <w:rsid w:val="00C46700"/>
    <w:rsid w:val="00C7273F"/>
    <w:rsid w:val="00C81F6B"/>
    <w:rsid w:val="00CB0D75"/>
    <w:rsid w:val="00CB2559"/>
    <w:rsid w:val="00CB3E3E"/>
    <w:rsid w:val="00CC5B71"/>
    <w:rsid w:val="00CD56E4"/>
    <w:rsid w:val="00CD5DEC"/>
    <w:rsid w:val="00CF2A83"/>
    <w:rsid w:val="00D00076"/>
    <w:rsid w:val="00D06F70"/>
    <w:rsid w:val="00D34DCC"/>
    <w:rsid w:val="00D53FEF"/>
    <w:rsid w:val="00D61CD8"/>
    <w:rsid w:val="00D74E82"/>
    <w:rsid w:val="00D7758D"/>
    <w:rsid w:val="00D858CB"/>
    <w:rsid w:val="00DA756A"/>
    <w:rsid w:val="00DC12BB"/>
    <w:rsid w:val="00DD5F5E"/>
    <w:rsid w:val="00E058C1"/>
    <w:rsid w:val="00E16862"/>
    <w:rsid w:val="00E31CA8"/>
    <w:rsid w:val="00E441D6"/>
    <w:rsid w:val="00E53E16"/>
    <w:rsid w:val="00E83962"/>
    <w:rsid w:val="00E9620D"/>
    <w:rsid w:val="00EB694F"/>
    <w:rsid w:val="00EE1F67"/>
    <w:rsid w:val="00EE53AC"/>
    <w:rsid w:val="00EE72B4"/>
    <w:rsid w:val="00EF4E02"/>
    <w:rsid w:val="00F0309B"/>
    <w:rsid w:val="00F05D39"/>
    <w:rsid w:val="00F14320"/>
    <w:rsid w:val="00F27977"/>
    <w:rsid w:val="00F53E14"/>
    <w:rsid w:val="00FA4771"/>
    <w:rsid w:val="00FB0E4E"/>
    <w:rsid w:val="00FB2B6A"/>
    <w:rsid w:val="00FC1463"/>
    <w:rsid w:val="00FD0B7E"/>
    <w:rsid w:val="00FD1353"/>
    <w:rsid w:val="00FD40D1"/>
    <w:rsid w:val="00FD566B"/>
    <w:rsid w:val="00FF541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stroke="f">
      <v:fill color="white"/>
      <v:stroke on="f"/>
    </o:shapedefaults>
    <o:shapelayout v:ext="edit">
      <o:idmap v:ext="edit" data="2"/>
    </o:shapelayout>
  </w:shapeDefaults>
  <w:doNotEmbedSmartTags/>
  <w:decimalSymbol w:val="."/>
  <w:listSeparator w:val=";"/>
  <w14:docId w14:val="641E58B2"/>
  <w15:chartTrackingRefBased/>
  <w15:docId w15:val="{EE3B3943-59D5-42F1-A678-3DD37E001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Times" w:eastAsia="PMingLiU" w:hAnsi="Times" w:cs="Times"/>
      <w:lang w:val="en-AU" w:eastAsia="zh-TW"/>
    </w:rPr>
  </w:style>
  <w:style w:type="paragraph" w:styleId="Ttulo1">
    <w:name w:val="heading 1"/>
    <w:basedOn w:val="Normal"/>
    <w:next w:val="DefaultParagraphFont1"/>
    <w:qFormat/>
    <w:rsid w:val="000D636D"/>
    <w:pPr>
      <w:snapToGrid w:val="0"/>
      <w:spacing w:after="120"/>
      <w:ind w:firstLine="360"/>
      <w:jc w:val="center"/>
      <w:outlineLvl w:val="0"/>
    </w:pPr>
    <w:rPr>
      <w:rFonts w:ascii="Times New Roman" w:hAnsi="Times New Roman" w:cs="Times New Roman"/>
      <w:smallCaps/>
      <w:lang w:val="en-US"/>
    </w:rPr>
  </w:style>
  <w:style w:type="paragraph" w:styleId="Ttulo2">
    <w:name w:val="heading 2"/>
    <w:basedOn w:val="Normal"/>
    <w:next w:val="DefaultParagraphFont1"/>
    <w:qFormat/>
    <w:rsid w:val="000D636D"/>
    <w:pPr>
      <w:snapToGrid w:val="0"/>
      <w:jc w:val="both"/>
      <w:outlineLvl w:val="1"/>
    </w:pPr>
    <w:rPr>
      <w:rFonts w:ascii="Times New Roman" w:hAnsi="Times New Roman" w:cs="Times New Roman"/>
      <w:i/>
      <w:lang w:val="en-US"/>
    </w:rPr>
  </w:style>
  <w:style w:type="paragraph" w:styleId="Ttulo3">
    <w:name w:val="heading 3"/>
    <w:basedOn w:val="DefaultParagraphFont1"/>
    <w:next w:val="DefaultParagraphFont1"/>
    <w:qFormat/>
    <w:pPr>
      <w:keepNext/>
      <w:spacing w:before="240" w:after="60"/>
      <w:outlineLvl w:val="2"/>
    </w:pPr>
    <w:rPr>
      <w:b/>
      <w:bCs/>
      <w:sz w:val="24"/>
      <w:szCs w:val="24"/>
    </w:rPr>
  </w:style>
  <w:style w:type="paragraph" w:styleId="Ttulo4">
    <w:name w:val="heading 4"/>
    <w:basedOn w:val="Normal"/>
    <w:next w:val="Normal"/>
    <w:link w:val="Ttulo4Car"/>
    <w:uiPriority w:val="9"/>
    <w:semiHidden/>
    <w:unhideWhenUsed/>
    <w:qFormat/>
    <w:rsid w:val="008D5CBE"/>
    <w:pPr>
      <w:keepNext/>
      <w:spacing w:before="240" w:after="60"/>
      <w:outlineLvl w:val="3"/>
    </w:pPr>
    <w:rPr>
      <w:rFonts w:ascii="Calibri" w:eastAsia="Times New Roman" w:hAnsi="Calibri" w:cs="Times New Roman"/>
      <w:b/>
      <w:bCs/>
      <w:sz w:val="28"/>
      <w:szCs w:val="28"/>
    </w:rPr>
  </w:style>
  <w:style w:type="paragraph" w:styleId="Ttulo5">
    <w:name w:val="heading 5"/>
    <w:basedOn w:val="Normal"/>
    <w:next w:val="Normal"/>
    <w:link w:val="Ttulo5Car"/>
    <w:uiPriority w:val="9"/>
    <w:semiHidden/>
    <w:unhideWhenUsed/>
    <w:qFormat/>
    <w:rsid w:val="008D5CBE"/>
    <w:pPr>
      <w:spacing w:before="240" w:after="60"/>
      <w:outlineLvl w:val="4"/>
    </w:pPr>
    <w:rPr>
      <w:rFonts w:ascii="Calibri" w:eastAsia="Times New Roman" w:hAnsi="Calibri" w:cs="Times New Roman"/>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ParagraphFont1">
    <w:name w:val="Default Paragraph Font1"/>
    <w:next w:val="Normal"/>
    <w:pPr>
      <w:overflowPunct w:val="0"/>
      <w:autoSpaceDE w:val="0"/>
      <w:autoSpaceDN w:val="0"/>
      <w:adjustRightInd w:val="0"/>
      <w:textAlignment w:val="baseline"/>
    </w:pPr>
    <w:rPr>
      <w:rFonts w:ascii="Times" w:eastAsia="PMingLiU" w:hAnsi="Times" w:cs="Times"/>
      <w:lang w:val="en-US" w:eastAsia="zh-TW"/>
    </w:rPr>
  </w:style>
  <w:style w:type="paragraph" w:styleId="Sangranormal">
    <w:name w:val="Normal Indent"/>
    <w:basedOn w:val="Normal"/>
    <w:pPr>
      <w:ind w:left="720"/>
    </w:pPr>
  </w:style>
  <w:style w:type="character" w:customStyle="1" w:styleId="nsfaddress">
    <w:name w:val="nsfaddress"/>
    <w:basedOn w:val="Fuentedeprrafopredeter"/>
    <w:rsid w:val="00260E28"/>
  </w:style>
  <w:style w:type="character" w:styleId="Hipervnculo">
    <w:name w:val="Hyperlink"/>
    <w:rsid w:val="00964252"/>
    <w:rPr>
      <w:color w:val="auto"/>
      <w:u w:val="single"/>
    </w:rPr>
  </w:style>
  <w:style w:type="character" w:styleId="Textoennegrita">
    <w:name w:val="Strong"/>
    <w:qFormat/>
    <w:rsid w:val="008D20D2"/>
    <w:rPr>
      <w:b/>
      <w:bCs/>
    </w:rPr>
  </w:style>
  <w:style w:type="paragraph" w:styleId="Textonotapie">
    <w:name w:val="footnote text"/>
    <w:basedOn w:val="Normal"/>
    <w:semiHidden/>
    <w:rsid w:val="00D74E82"/>
  </w:style>
  <w:style w:type="character" w:styleId="Refdenotaalpie">
    <w:name w:val="footnote reference"/>
    <w:semiHidden/>
    <w:rsid w:val="00D74E82"/>
    <w:rPr>
      <w:vertAlign w:val="superscript"/>
    </w:rPr>
  </w:style>
  <w:style w:type="table" w:styleId="Tablaconcuadrcula">
    <w:name w:val="Table Grid"/>
    <w:basedOn w:val="Tablanormal"/>
    <w:rsid w:val="00655FD6"/>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0B3D72"/>
    <w:rPr>
      <w:rFonts w:ascii="Arial" w:hAnsi="Arial" w:cs="Times New Roman"/>
      <w:sz w:val="16"/>
      <w:szCs w:val="16"/>
    </w:rPr>
  </w:style>
  <w:style w:type="paragraph" w:customStyle="1" w:styleId="IEEEAuthorName">
    <w:name w:val="IEEE Author Name"/>
    <w:basedOn w:val="Normal"/>
    <w:next w:val="Normal"/>
    <w:link w:val="IEEEAuthorNameChar"/>
    <w:rsid w:val="00891B98"/>
    <w:pPr>
      <w:overflowPunct/>
      <w:autoSpaceDE/>
      <w:autoSpaceDN/>
      <w:snapToGrid w:val="0"/>
      <w:spacing w:before="120" w:after="120"/>
      <w:jc w:val="center"/>
      <w:textAlignment w:val="auto"/>
    </w:pPr>
    <w:rPr>
      <w:rFonts w:ascii="Times New Roman" w:eastAsia="Times New Roman" w:hAnsi="Times New Roman" w:cs="Times New Roman"/>
      <w:sz w:val="22"/>
      <w:szCs w:val="24"/>
      <w:lang w:val="en-GB" w:eastAsia="en-GB"/>
    </w:rPr>
  </w:style>
  <w:style w:type="paragraph" w:customStyle="1" w:styleId="IEEEAuthorAffiliation">
    <w:name w:val="IEEE Author Affiliation"/>
    <w:basedOn w:val="Normal"/>
    <w:next w:val="Normal"/>
    <w:link w:val="IEEEAuthorAffiliationChar"/>
    <w:rsid w:val="00891B98"/>
    <w:pPr>
      <w:overflowPunct/>
      <w:autoSpaceDE/>
      <w:autoSpaceDN/>
      <w:adjustRightInd/>
      <w:spacing w:after="60"/>
      <w:jc w:val="center"/>
      <w:textAlignment w:val="auto"/>
    </w:pPr>
    <w:rPr>
      <w:rFonts w:ascii="Times New Roman" w:eastAsia="Times New Roman" w:hAnsi="Times New Roman" w:cs="Times New Roman"/>
      <w:i/>
      <w:szCs w:val="24"/>
      <w:lang w:val="en-GB" w:eastAsia="en-GB"/>
    </w:rPr>
  </w:style>
  <w:style w:type="paragraph" w:customStyle="1" w:styleId="IEEEAbtract">
    <w:name w:val="IEEE Abtract"/>
    <w:basedOn w:val="Normal"/>
    <w:next w:val="Normal"/>
    <w:link w:val="IEEEAbtractChar"/>
    <w:rsid w:val="00956702"/>
    <w:pPr>
      <w:overflowPunct/>
      <w:autoSpaceDE/>
      <w:autoSpaceDN/>
      <w:snapToGrid w:val="0"/>
      <w:jc w:val="both"/>
      <w:textAlignment w:val="auto"/>
    </w:pPr>
    <w:rPr>
      <w:rFonts w:ascii="Times New Roman" w:eastAsia="SimSun" w:hAnsi="Times New Roman" w:cs="Times New Roman"/>
      <w:b/>
      <w:sz w:val="18"/>
      <w:szCs w:val="24"/>
      <w:lang w:val="en-GB" w:eastAsia="en-GB"/>
    </w:rPr>
  </w:style>
  <w:style w:type="character" w:customStyle="1" w:styleId="IEEEAbtractChar">
    <w:name w:val="IEEE Abtract Char"/>
    <w:link w:val="IEEEAbtract"/>
    <w:rsid w:val="00956702"/>
    <w:rPr>
      <w:b/>
      <w:sz w:val="18"/>
      <w:szCs w:val="24"/>
      <w:lang w:val="en-GB" w:eastAsia="en-GB"/>
    </w:rPr>
  </w:style>
  <w:style w:type="paragraph" w:styleId="Encabezado">
    <w:name w:val="header"/>
    <w:basedOn w:val="Normal"/>
    <w:link w:val="EncabezadoCar"/>
    <w:uiPriority w:val="99"/>
    <w:unhideWhenUsed/>
    <w:rsid w:val="00956702"/>
    <w:pPr>
      <w:tabs>
        <w:tab w:val="center" w:pos="4680"/>
        <w:tab w:val="right" w:pos="9360"/>
      </w:tabs>
    </w:pPr>
  </w:style>
  <w:style w:type="character" w:customStyle="1" w:styleId="EncabezadoCar">
    <w:name w:val="Encabezado Car"/>
    <w:link w:val="Encabezado"/>
    <w:uiPriority w:val="99"/>
    <w:rsid w:val="00956702"/>
    <w:rPr>
      <w:rFonts w:ascii="Times" w:eastAsia="PMingLiU" w:hAnsi="Times" w:cs="Times"/>
      <w:lang w:val="en-AU" w:eastAsia="zh-TW"/>
    </w:rPr>
  </w:style>
  <w:style w:type="paragraph" w:styleId="Piedepgina">
    <w:name w:val="footer"/>
    <w:basedOn w:val="Normal"/>
    <w:link w:val="PiedepginaCar"/>
    <w:uiPriority w:val="99"/>
    <w:unhideWhenUsed/>
    <w:rsid w:val="00956702"/>
    <w:pPr>
      <w:tabs>
        <w:tab w:val="center" w:pos="4680"/>
        <w:tab w:val="right" w:pos="9360"/>
      </w:tabs>
    </w:pPr>
  </w:style>
  <w:style w:type="character" w:customStyle="1" w:styleId="PiedepginaCar">
    <w:name w:val="Pie de página Car"/>
    <w:link w:val="Piedepgina"/>
    <w:uiPriority w:val="99"/>
    <w:rsid w:val="00956702"/>
    <w:rPr>
      <w:rFonts w:ascii="Times" w:eastAsia="PMingLiU" w:hAnsi="Times" w:cs="Times"/>
      <w:lang w:val="en-AU" w:eastAsia="zh-TW"/>
    </w:rPr>
  </w:style>
  <w:style w:type="paragraph" w:styleId="Ttulo">
    <w:name w:val="Title"/>
    <w:basedOn w:val="DefaultParagraphFont1"/>
    <w:next w:val="Normal"/>
    <w:link w:val="TtuloCar"/>
    <w:uiPriority w:val="10"/>
    <w:qFormat/>
    <w:rsid w:val="00707E84"/>
    <w:pPr>
      <w:jc w:val="center"/>
    </w:pPr>
    <w:rPr>
      <w:rFonts w:ascii="Times New Roman" w:hAnsi="Times New Roman" w:cs="Times New Roman"/>
      <w:bCs/>
      <w:sz w:val="48"/>
      <w:szCs w:val="48"/>
    </w:rPr>
  </w:style>
  <w:style w:type="character" w:customStyle="1" w:styleId="TtuloCar">
    <w:name w:val="Título Car"/>
    <w:link w:val="Ttulo"/>
    <w:uiPriority w:val="10"/>
    <w:rsid w:val="00707E84"/>
    <w:rPr>
      <w:rFonts w:eastAsia="PMingLiU"/>
      <w:bCs/>
      <w:sz w:val="48"/>
      <w:szCs w:val="48"/>
      <w:lang w:eastAsia="zh-TW"/>
    </w:rPr>
  </w:style>
  <w:style w:type="paragraph" w:customStyle="1" w:styleId="Authors">
    <w:name w:val="Authors"/>
    <w:basedOn w:val="IEEEAuthorName"/>
    <w:link w:val="AuthorsChar"/>
    <w:qFormat/>
    <w:rsid w:val="00F14320"/>
    <w:pPr>
      <w:tabs>
        <w:tab w:val="center" w:pos="5400"/>
      </w:tabs>
      <w:spacing w:before="0" w:after="0"/>
    </w:pPr>
  </w:style>
  <w:style w:type="paragraph" w:customStyle="1" w:styleId="InstitutionandEmail">
    <w:name w:val="Institution and Email"/>
    <w:basedOn w:val="Normal"/>
    <w:link w:val="InstitutionandEmailChar"/>
    <w:qFormat/>
    <w:rsid w:val="00310AA7"/>
    <w:pPr>
      <w:tabs>
        <w:tab w:val="center" w:pos="5400"/>
      </w:tabs>
    </w:pPr>
    <w:rPr>
      <w:i/>
    </w:rPr>
  </w:style>
  <w:style w:type="character" w:customStyle="1" w:styleId="IEEEAuthorNameChar">
    <w:name w:val="IEEE Author Name Char"/>
    <w:link w:val="IEEEAuthorName"/>
    <w:rsid w:val="00F14320"/>
    <w:rPr>
      <w:rFonts w:eastAsia="Times New Roman"/>
      <w:sz w:val="22"/>
      <w:szCs w:val="24"/>
      <w:lang w:val="en-GB" w:eastAsia="en-GB"/>
    </w:rPr>
  </w:style>
  <w:style w:type="character" w:customStyle="1" w:styleId="AuthorsChar">
    <w:name w:val="Authors Char"/>
    <w:basedOn w:val="IEEEAuthorNameChar"/>
    <w:link w:val="Authors"/>
    <w:rsid w:val="00F14320"/>
    <w:rPr>
      <w:rFonts w:eastAsia="Times New Roman"/>
      <w:sz w:val="22"/>
      <w:szCs w:val="24"/>
      <w:lang w:val="en-GB" w:eastAsia="en-GB"/>
    </w:rPr>
  </w:style>
  <w:style w:type="paragraph" w:customStyle="1" w:styleId="AbstractandKeywords">
    <w:name w:val="Abstract and Keywords"/>
    <w:basedOn w:val="IEEEAbtract"/>
    <w:next w:val="Ttulo1"/>
    <w:link w:val="AbstractandKeywordsChar"/>
    <w:qFormat/>
    <w:rsid w:val="000D636D"/>
    <w:pPr>
      <w:ind w:firstLine="360"/>
    </w:pPr>
    <w:rPr>
      <w:rFonts w:ascii="Times" w:eastAsia="PMingLiU" w:hAnsi="Times" w:cs="Times"/>
      <w:i/>
      <w:szCs w:val="18"/>
      <w:lang w:val="en-US" w:eastAsia="zh-TW"/>
    </w:rPr>
  </w:style>
  <w:style w:type="character" w:customStyle="1" w:styleId="IEEEAuthorAffiliationChar">
    <w:name w:val="IEEE Author Affiliation Char"/>
    <w:link w:val="IEEEAuthorAffiliation"/>
    <w:rsid w:val="00F14320"/>
    <w:rPr>
      <w:rFonts w:eastAsia="Times New Roman"/>
      <w:i/>
      <w:szCs w:val="24"/>
      <w:lang w:val="en-GB" w:eastAsia="en-GB"/>
    </w:rPr>
  </w:style>
  <w:style w:type="character" w:customStyle="1" w:styleId="InstitutionandEmailChar">
    <w:name w:val="Institution and Email Char"/>
    <w:link w:val="InstitutionandEmail"/>
    <w:rsid w:val="000D636D"/>
    <w:rPr>
      <w:rFonts w:ascii="Times" w:eastAsia="PMingLiU" w:hAnsi="Times" w:cs="Times"/>
      <w:i/>
      <w:szCs w:val="24"/>
      <w:lang w:val="en-AU" w:eastAsia="zh-TW"/>
    </w:rPr>
  </w:style>
  <w:style w:type="paragraph" w:customStyle="1" w:styleId="TableCaption">
    <w:name w:val="Table Caption"/>
    <w:basedOn w:val="Normal"/>
    <w:link w:val="TableCaptionChar"/>
    <w:qFormat/>
    <w:rsid w:val="006E0A4A"/>
    <w:pPr>
      <w:tabs>
        <w:tab w:val="left" w:pos="360"/>
      </w:tabs>
      <w:snapToGrid w:val="0"/>
      <w:ind w:firstLine="360"/>
      <w:jc w:val="center"/>
    </w:pPr>
    <w:rPr>
      <w:rFonts w:ascii="Times New Roman" w:hAnsi="Times New Roman" w:cs="Times New Roman"/>
      <w:sz w:val="16"/>
      <w:szCs w:val="16"/>
      <w:lang w:val="en-US"/>
    </w:rPr>
  </w:style>
  <w:style w:type="character" w:customStyle="1" w:styleId="AbstractandKeywordsChar">
    <w:name w:val="Abstract and Keywords Char"/>
    <w:link w:val="AbstractandKeywords"/>
    <w:rsid w:val="000D636D"/>
    <w:rPr>
      <w:rFonts w:ascii="Times" w:eastAsia="PMingLiU" w:hAnsi="Times" w:cs="Times"/>
      <w:b/>
      <w:i/>
      <w:sz w:val="18"/>
      <w:szCs w:val="18"/>
      <w:lang w:val="en-GB" w:eastAsia="zh-TW"/>
    </w:rPr>
  </w:style>
  <w:style w:type="paragraph" w:customStyle="1" w:styleId="Referenceentry">
    <w:name w:val="Reference entry"/>
    <w:basedOn w:val="Normal"/>
    <w:link w:val="ReferenceentryChar"/>
    <w:qFormat/>
    <w:rsid w:val="00FC1463"/>
    <w:pPr>
      <w:numPr>
        <w:numId w:val="1"/>
      </w:numPr>
      <w:tabs>
        <w:tab w:val="clear" w:pos="360"/>
        <w:tab w:val="num" w:pos="270"/>
      </w:tabs>
      <w:snapToGrid w:val="0"/>
      <w:ind w:left="270" w:hanging="270"/>
      <w:jc w:val="both"/>
    </w:pPr>
    <w:rPr>
      <w:rFonts w:ascii="Times New Roman" w:eastAsia="SimSun" w:hAnsi="Times New Roman" w:cs="Times New Roman"/>
      <w:sz w:val="16"/>
      <w:szCs w:val="16"/>
      <w:lang w:val="en-US" w:eastAsia="zh-CN"/>
    </w:rPr>
  </w:style>
  <w:style w:type="character" w:customStyle="1" w:styleId="TableCaptionChar">
    <w:name w:val="Table Caption Char"/>
    <w:link w:val="TableCaption"/>
    <w:rsid w:val="006E0A4A"/>
    <w:rPr>
      <w:rFonts w:eastAsia="PMingLiU"/>
      <w:sz w:val="16"/>
      <w:szCs w:val="16"/>
      <w:lang w:eastAsia="zh-TW"/>
    </w:rPr>
  </w:style>
  <w:style w:type="character" w:styleId="Refdecomentario">
    <w:name w:val="annotation reference"/>
    <w:uiPriority w:val="99"/>
    <w:semiHidden/>
    <w:unhideWhenUsed/>
    <w:rsid w:val="003345DD"/>
    <w:rPr>
      <w:sz w:val="16"/>
      <w:szCs w:val="16"/>
    </w:rPr>
  </w:style>
  <w:style w:type="character" w:customStyle="1" w:styleId="ReferenceentryChar">
    <w:name w:val="Reference entry Char"/>
    <w:link w:val="Referenceentry"/>
    <w:rsid w:val="00FC1463"/>
    <w:rPr>
      <w:sz w:val="16"/>
      <w:szCs w:val="16"/>
      <w:lang w:eastAsia="zh-CN"/>
    </w:rPr>
  </w:style>
  <w:style w:type="paragraph" w:styleId="Textocomentario">
    <w:name w:val="annotation text"/>
    <w:basedOn w:val="Normal"/>
    <w:link w:val="TextocomentarioCar"/>
    <w:uiPriority w:val="99"/>
    <w:semiHidden/>
    <w:unhideWhenUsed/>
    <w:rsid w:val="003345DD"/>
  </w:style>
  <w:style w:type="character" w:customStyle="1" w:styleId="TextocomentarioCar">
    <w:name w:val="Texto comentario Car"/>
    <w:link w:val="Textocomentario"/>
    <w:uiPriority w:val="99"/>
    <w:semiHidden/>
    <w:rsid w:val="003345DD"/>
    <w:rPr>
      <w:rFonts w:ascii="Times" w:eastAsia="PMingLiU" w:hAnsi="Times" w:cs="Times"/>
      <w:lang w:val="en-AU" w:eastAsia="zh-TW"/>
    </w:rPr>
  </w:style>
  <w:style w:type="paragraph" w:styleId="Asuntodelcomentario">
    <w:name w:val="annotation subject"/>
    <w:basedOn w:val="Textocomentario"/>
    <w:next w:val="Textocomentario"/>
    <w:link w:val="AsuntodelcomentarioCar"/>
    <w:uiPriority w:val="99"/>
    <w:semiHidden/>
    <w:unhideWhenUsed/>
    <w:rsid w:val="003345DD"/>
    <w:rPr>
      <w:b/>
      <w:bCs/>
    </w:rPr>
  </w:style>
  <w:style w:type="character" w:customStyle="1" w:styleId="AsuntodelcomentarioCar">
    <w:name w:val="Asunto del comentario Car"/>
    <w:link w:val="Asuntodelcomentario"/>
    <w:uiPriority w:val="99"/>
    <w:semiHidden/>
    <w:rsid w:val="003345DD"/>
    <w:rPr>
      <w:rFonts w:ascii="Times" w:eastAsia="PMingLiU" w:hAnsi="Times" w:cs="Times"/>
      <w:b/>
      <w:bCs/>
      <w:lang w:val="en-AU" w:eastAsia="zh-TW"/>
    </w:rPr>
  </w:style>
  <w:style w:type="paragraph" w:customStyle="1" w:styleId="Text">
    <w:name w:val="Text"/>
    <w:basedOn w:val="Normal"/>
    <w:uiPriority w:val="99"/>
    <w:qFormat/>
    <w:rsid w:val="00FB2B6A"/>
    <w:pPr>
      <w:widowControl w:val="0"/>
      <w:overflowPunct/>
      <w:autoSpaceDE/>
      <w:autoSpaceDN/>
      <w:adjustRightInd/>
      <w:spacing w:line="252" w:lineRule="auto"/>
      <w:ind w:firstLine="202"/>
      <w:jc w:val="both"/>
      <w:textAlignment w:val="auto"/>
    </w:pPr>
    <w:rPr>
      <w:rFonts w:ascii="Times New Roman" w:eastAsia="Times New Roman" w:hAnsi="Times New Roman" w:cs="Times New Roman"/>
      <w:lang w:val="en-US" w:eastAsia="en-US"/>
    </w:rPr>
  </w:style>
  <w:style w:type="paragraph" w:customStyle="1" w:styleId="FigureCaption">
    <w:name w:val="Figure Caption"/>
    <w:basedOn w:val="Normal"/>
    <w:link w:val="FigureCaptionChar"/>
    <w:uiPriority w:val="99"/>
    <w:qFormat/>
    <w:rsid w:val="00FB2B6A"/>
    <w:pPr>
      <w:overflowPunct/>
      <w:autoSpaceDE/>
      <w:autoSpaceDN/>
      <w:adjustRightInd/>
      <w:jc w:val="both"/>
      <w:textAlignment w:val="auto"/>
    </w:pPr>
    <w:rPr>
      <w:rFonts w:ascii="Times New Roman" w:eastAsia="Times New Roman" w:hAnsi="Times New Roman" w:cs="Times New Roman"/>
      <w:sz w:val="16"/>
      <w:szCs w:val="16"/>
      <w:lang w:val="en-US" w:eastAsia="en-US"/>
    </w:rPr>
  </w:style>
  <w:style w:type="character" w:customStyle="1" w:styleId="FigureCaptionChar">
    <w:name w:val="Figure Caption Char"/>
    <w:link w:val="FigureCaption"/>
    <w:uiPriority w:val="99"/>
    <w:rsid w:val="00FB2B6A"/>
    <w:rPr>
      <w:rFonts w:eastAsia="Times New Roman"/>
      <w:sz w:val="16"/>
      <w:szCs w:val="16"/>
    </w:rPr>
  </w:style>
  <w:style w:type="character" w:customStyle="1" w:styleId="Ttulo4Car">
    <w:name w:val="Título 4 Car"/>
    <w:link w:val="Ttulo4"/>
    <w:uiPriority w:val="9"/>
    <w:semiHidden/>
    <w:rsid w:val="008D5CBE"/>
    <w:rPr>
      <w:rFonts w:ascii="Calibri" w:eastAsia="Times New Roman" w:hAnsi="Calibri" w:cs="Times New Roman"/>
      <w:b/>
      <w:bCs/>
      <w:sz w:val="28"/>
      <w:szCs w:val="28"/>
      <w:lang w:val="en-AU" w:eastAsia="zh-TW"/>
    </w:rPr>
  </w:style>
  <w:style w:type="character" w:customStyle="1" w:styleId="Ttulo5Car">
    <w:name w:val="Título 5 Car"/>
    <w:link w:val="Ttulo5"/>
    <w:uiPriority w:val="9"/>
    <w:semiHidden/>
    <w:rsid w:val="008D5CBE"/>
    <w:rPr>
      <w:rFonts w:ascii="Calibri" w:eastAsia="Times New Roman" w:hAnsi="Calibri" w:cs="Times New Roman"/>
      <w:b/>
      <w:bCs/>
      <w:i/>
      <w:iCs/>
      <w:sz w:val="26"/>
      <w:szCs w:val="26"/>
      <w:lang w:val="en-AU" w:eastAsia="zh-TW"/>
    </w:rPr>
  </w:style>
  <w:style w:type="character" w:styleId="Mencinsinresolver">
    <w:name w:val="Unresolved Mention"/>
    <w:basedOn w:val="Fuentedeprrafopredeter"/>
    <w:uiPriority w:val="99"/>
    <w:semiHidden/>
    <w:unhideWhenUsed/>
    <w:rsid w:val="00014D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92957">
      <w:bodyDiv w:val="1"/>
      <w:marLeft w:val="0"/>
      <w:marRight w:val="0"/>
      <w:marTop w:val="0"/>
      <w:marBottom w:val="0"/>
      <w:divBdr>
        <w:top w:val="none" w:sz="0" w:space="0" w:color="auto"/>
        <w:left w:val="none" w:sz="0" w:space="0" w:color="auto"/>
        <w:bottom w:val="none" w:sz="0" w:space="0" w:color="auto"/>
        <w:right w:val="none" w:sz="0" w:space="0" w:color="auto"/>
      </w:divBdr>
    </w:div>
    <w:div w:id="398095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aho.org/es/temas/epilepsia" TargetMode="External"/><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1608</Words>
  <Characters>8850</Characters>
  <Application>Microsoft Office Word</Application>
  <DocSecurity>0</DocSecurity>
  <Lines>73</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LACCEI 2022 Conference Paper Template</vt:lpstr>
      <vt:lpstr>LACCEI 2022 Conference Paper Template</vt:lpstr>
    </vt:vector>
  </TitlesOfParts>
  <Company>NTUME</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LACCEI 2022 Conference Paper Template</dc:title>
  <dc:subject/>
  <dc:creator>Max</dc:creator>
  <cp:keywords/>
  <cp:lastModifiedBy>Raul Eduardo Huarote Zegarra</cp:lastModifiedBy>
  <cp:revision>2</cp:revision>
  <cp:lastPrinted>2004-02-05T03:56:00Z</cp:lastPrinted>
  <dcterms:created xsi:type="dcterms:W3CDTF">2025-10-10T00:29:00Z</dcterms:created>
  <dcterms:modified xsi:type="dcterms:W3CDTF">2025-10-10T00:29:00Z</dcterms:modified>
</cp:coreProperties>
</file>