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bookmarkStart w:colFirst="0" w:colLast="0" w:name="_heading=h.sx11cmt2oybl" w:id="0"/>
      <w:bookmarkEnd w:id="0"/>
      <w:r w:rsidDel="00000000" w:rsidR="00000000" w:rsidRPr="00000000">
        <w:rPr>
          <w:sz w:val="48"/>
          <w:szCs w:val="48"/>
          <w:rtl w:val="0"/>
        </w:rPr>
        <w:t xml:space="preserve">Comparación de Modelos de Machine Learning para la Predicción de Diabetes Mellitus Tipo 2: Red Neuronal Artificial vs. </w:t>
      </w:r>
      <w:r w:rsidDel="00000000" w:rsidR="00000000" w:rsidRPr="00000000">
        <w:rPr>
          <w:sz w:val="48"/>
          <w:szCs w:val="48"/>
          <w:rtl w:val="0"/>
        </w:rPr>
        <w:t xml:space="preserve">Random Forest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400"/>
        </w:tabs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Gonza Morales Ronal</w:t>
      </w:r>
      <w:r w:rsidDel="00000000" w:rsidR="00000000" w:rsidRPr="00000000">
        <w:rPr>
          <w:i w:val="1"/>
          <w:iCs w:val="1"/>
          <w:rtl w:val="0"/>
        </w:rPr>
        <w:t xml:space="preserve">d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 Yoel – Cortez Zamora Leonardo Fabian – Roncal Rivera Yhony Max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footerReference r:id="rId7" w:type="default"/>
          <w:pgSz w:h="15840" w:w="12240" w:orient="portrait"/>
          <w:pgMar w:bottom="1440" w:top="1080" w:left="900" w:right="90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Abstract — </w:t>
      </w:r>
      <w:r w:rsidDel="00000000" w:rsidR="00000000" w:rsidRPr="00000000">
        <w:rPr>
          <w:sz w:val="18"/>
          <w:szCs w:val="18"/>
          <w:rtl w:val="0"/>
        </w:rPr>
        <w:t xml:space="preserve">Este trabajo evalúa y compara el rendimiento de dos modelos de Machine Learning para la predicción de Diabetes Mellitus Tipo 2: una Red Neuronal Artificial (RNA) implementada con Keras/TensorFlow y un Random Forest entrenado con scikit-learn. Ambos modelos fueron entrenados sobre un conjunto de 100,000 registros clínicos reales que incluyen variables demográficas y biomédicas clave. El conjunto de prueba independiente comprendió 20,000 registros (20%). Se reportan métricas de Accuracy, AUC-ROC, F1-Score, Precisión y Recall, junto con las matrices de confusión completas. Los resultados muestran un Accuracy de 97.23% (RNA) vs 90.31% (RF), y un AUC-ROC de 0.9771 (RNA) vs 0.9764 (RF).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Keywords — </w:t>
      </w:r>
      <w:r w:rsidDel="00000000" w:rsidR="00000000" w:rsidRPr="00000000">
        <w:rPr>
          <w:sz w:val="18"/>
          <w:szCs w:val="18"/>
          <w:rtl w:val="0"/>
        </w:rPr>
        <w:t xml:space="preserve">Diabetes Mellitus Tipo 2, Machine Learning, Red Neuronal Artificial, Random Forest,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 Predicción Clínica</w:t>
      </w:r>
      <w:r w:rsidDel="00000000" w:rsidR="00000000" w:rsidRPr="00000000">
        <w:rPr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highlight w:val="yellow"/>
          <w:rtl w:val="0"/>
        </w:rPr>
        <w:t xml:space="preserve"> HbA1c, Glucosa en Sangre,</w:t>
      </w:r>
      <w:r w:rsidDel="00000000" w:rsidR="00000000" w:rsidRPr="00000000">
        <w:rPr>
          <w:sz w:val="18"/>
          <w:szCs w:val="18"/>
          <w:rtl w:val="0"/>
        </w:rPr>
        <w:t xml:space="preserve"> AUC-ROC.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I.  INTRODUCCIÓN</w:t>
      </w:r>
    </w:p>
    <w:p w:rsidR="00000000" w:rsidDel="00000000" w:rsidP="00000000" w:rsidRDefault="00000000" w:rsidRPr="00000000" w14:paraId="0000000A">
      <w:pPr>
        <w:jc w:val="both"/>
        <w:rPr>
          <w:highlight w:val="yellow"/>
        </w:rPr>
      </w:pPr>
      <w:r w:rsidDel="00000000" w:rsidR="00000000" w:rsidRPr="00000000">
        <w:rPr>
          <w:rtl w:val="0"/>
        </w:rPr>
        <w:t xml:space="preserve">Según la Organización Mundial de la Salud (OMS), la Diabetes Mellitus Tipo 2 es una de las enfermedades no transmisibles de mayor crecimiento en el mundo: afecta a más de 422 millones de personas y causa 1.5 millones de muertes directas por año. La detección temprana es el factor clave para reducir sus complicaciones (nefropatía, retinopatía, neuropatía periférica y enfermedad cardiovascular). </w:t>
      </w:r>
      <w:r w:rsidDel="00000000" w:rsidR="00000000" w:rsidRPr="00000000">
        <w:rPr>
          <w:highlight w:val="yellow"/>
          <w:rtl w:val="0"/>
        </w:rPr>
        <w:t xml:space="preserve">QUE TANTA AFECTACIÓN TIENE EN EL AREA A INVESTIGAR(DELIMITACION)</w:t>
      </w:r>
    </w:p>
    <w:p w:rsidR="00000000" w:rsidDel="00000000" w:rsidP="00000000" w:rsidRDefault="00000000" w:rsidRPr="00000000" w14:paraId="0000000B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En el marco de la presente investigación se ha encontrado publicaciones relevantes tales como (juan perez.2020) con su investigacion titulada “ml aplicado a diabetes” donde ha utilizado el modelo  X obteniendo como resultado la identificacion de diferentes diagnostico de “enfermedad”, asi como … 5 MINIMO</w:t>
      </w:r>
    </w:p>
    <w:p w:rsidR="00000000" w:rsidDel="00000000" w:rsidP="00000000" w:rsidRDefault="00000000" w:rsidRPr="00000000" w14:paraId="0000000D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MACHINE LEARNING (2 HOJAS)</w:t>
      </w:r>
    </w:p>
    <w:p w:rsidR="00000000" w:rsidDel="00000000" w:rsidP="00000000" w:rsidRDefault="00000000" w:rsidRPr="00000000" w14:paraId="0000000F">
      <w:pPr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primero general y luego como funciona en el trabajo (ambos vs)</w:t>
      </w:r>
    </w:p>
    <w:p w:rsidR="00000000" w:rsidDel="00000000" w:rsidP="00000000" w:rsidRDefault="00000000" w:rsidRPr="00000000" w14:paraId="00000010">
      <w:pPr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ESTRUCTURAS AQUI</w:t>
      </w:r>
    </w:p>
    <w:p w:rsidR="00000000" w:rsidDel="00000000" w:rsidP="00000000" w:rsidRDefault="00000000" w:rsidRPr="00000000" w14:paraId="00000011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El Machine Learning ha demostrado ser una herramienta poderosa para identificar patrones en datos clínicos y construir modelos predictivos de alta precisión. En este contexto, comparamos dos enfoques complementarios: (1) una Red Neuronal Artificial profunda, capaz de capturar relaciones no lineales complejas, y (2) un Random Forest, un método de ensemble que combina múltiples árboles de decisión para mejorar la robustez y generalización.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El dataset utilizado contiene 100,000 registros reales con ocho variables clínicas: género, edad, hipertensión, cardiopatía, historial de tabaquismo, Índice de Masa Corporal (BMI), Hemoglobina Glicosilada (HbA1c) y nivel de glucosa en sangre. La variable objetivo es binaria: Diabético (1) vs. No diabético (0). La distribución de clases presenta un desbalance notable: 91,500 casos negativos (91.5%) vs. 8,500 casos positivos (8.5%).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II.  DATASET Y VARIABLES CLÍNICAS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A.  Descripción del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El Diabetes Prediction Dataset (disponible en Kaggle) contiene registros anonimizados recolectados en entornos hospitalarios. Cada registro incluye ocho características de entrada y una variable objetivo binaria.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TABLA I — Variables del Dataset de Diabetes</w:t>
      </w: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MODIFICAR TABLA AL FORMATO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18"/>
          <w:szCs w:val="18"/>
          <w:highlight w:val="yellow"/>
        </w:rPr>
      </w:pPr>
      <w:r w:rsidDel="00000000" w:rsidR="00000000" w:rsidRPr="00000000">
        <w:rPr>
          <w:b w:val="1"/>
          <w:bCs w:val="1"/>
          <w:sz w:val="18"/>
          <w:szCs w:val="18"/>
          <w:highlight w:val="yellow"/>
          <w:rtl w:val="0"/>
        </w:rPr>
        <w:t xml:space="preserve">DEBE SER LLAMADA LA TABLA O IMAGENES</w:t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030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29"/>
        <w:gridCol w:w="1413"/>
        <w:gridCol w:w="1588"/>
        <w:tblGridChange w:id="0">
          <w:tblGrid>
            <w:gridCol w:w="2029"/>
            <w:gridCol w:w="1413"/>
            <w:gridCol w:w="1588"/>
          </w:tblGrid>
        </w:tblGridChange>
      </w:tblGrid>
      <w:tr>
        <w:trPr>
          <w:cantSplit w:val="0"/>
          <w:tblHeader w:val="0"/>
        </w:trPr>
        <w:tc>
          <w:tcPr>
            <w:shd w:fill="1a3a6d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d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d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Sexo biológico (Female=0, Male=1, Other=2)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Edad en años (rango: 0–80)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hypertension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Hipertensión arterial (0=No, 1=Sí)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heart_disease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Enfermedad cardíaca diagnosticada (0=No, 1=Sí)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smoking_history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Categórica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Historial tabáquico (6 categorías, 0–5)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Índice de Masa Corporal (kg/m²)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HbA1c_level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Hemoglobina glicosilada (%) — umbral diagnóstico ≥6.5%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blood_glucose_level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Numérica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Glucosa en sangre (mg/dL) — umbral ≥126 mg/dL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diabetes (objetivo)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Binaria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Resultado: 0 = No diabético, 1 = Diabético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r w:rsidDel="00000000" w:rsidR="00000000" w:rsidRPr="00000000">
        <w:rPr>
          <w:rtl w:val="0"/>
        </w:rPr>
        <w:t xml:space="preserve">III.  METODOLOGÍA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A.  División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  <w:t xml:space="preserve">El dataset fue dividido en 80% para entrenamiento (80,000 registros) y 20% para prueba (20,000 registros) usando estratificación para mantener la proporción de clases. La semilla aleatoria fijada fue 42 para garantizar reproducibilidad.</w:t>
      </w:r>
    </w:p>
    <w:p w:rsidR="00000000" w:rsidDel="00000000" w:rsidP="00000000" w:rsidRDefault="00000000" w:rsidRPr="00000000" w14:paraId="0000003F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MODELOS QUE UTLIZAMOS PARA DIVIDIR EL CSV</w:t>
      </w:r>
    </w:p>
    <w:p w:rsidR="00000000" w:rsidDel="00000000" w:rsidP="00000000" w:rsidRDefault="00000000" w:rsidRPr="00000000" w14:paraId="00000040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PONER CODIGO CON REFERENCIA(NO ISLA NUNCA!)</w:t>
      </w:r>
    </w:p>
    <w:p w:rsidR="00000000" w:rsidDel="00000000" w:rsidP="00000000" w:rsidRDefault="00000000" w:rsidRPr="00000000" w14:paraId="00000041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B.  Preprocesamiento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  <w:t xml:space="preserve">Las variables categóricas (género e historial de tabaquismo) fueron codificadas a valores numéricos mediante mapas ordinales. Para la Red Neuronal, todas las variables numéricas fueron normalizadas con StandardScaler (media=0, desviación estándar=1). El Random Forest no requiere normalización al ser insensible a la escala.</w:t>
      </w:r>
    </w:p>
    <w:p w:rsidR="00000000" w:rsidDel="00000000" w:rsidP="00000000" w:rsidRDefault="00000000" w:rsidRPr="00000000" w14:paraId="00000044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METRICAS UTILIZADAS (CONFIGURACION- NO ESTRUCTURA DE LA RED)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C.  Arquitectura de la Red Neuronal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La RNA implementada con Keras/TensorFlow 2 presenta la siguiente arquitectura secuencial:</w:t>
      </w:r>
    </w:p>
    <w:p w:rsidR="00000000" w:rsidDel="00000000" w:rsidP="00000000" w:rsidRDefault="00000000" w:rsidRPr="00000000" w14:paraId="00000047">
      <w:pPr>
        <w:jc w:val="both"/>
        <w:rPr/>
      </w:pPr>
      <w:r w:rsidDel="00000000" w:rsidR="00000000" w:rsidRPr="00000000">
        <w:rPr>
          <w:rtl w:val="0"/>
        </w:rPr>
        <w:t xml:space="preserve">  • Capa de entrada: 8 neuronas (una por variable clínica)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  • Capa densa 1: 128 neuronas, activación ReLU, regularización L2 (λ=0.001)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  • Dropout 1: tasa del 30% para prevenir sobreajuste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  • Capa densa 2: 64 neuronas, activación ReLU, regularización L2 (λ=0.001)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  • Dropout 2: tasa del 20%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  <w:t xml:space="preserve">  • Capa densa 3: 32 neuronas, activación ReLU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  • Capa de salida: 1 neurona, activación Sigmoid (probabilidad de diabetes)</w:t>
      </w:r>
    </w:p>
    <w:p w:rsidR="00000000" w:rsidDel="00000000" w:rsidP="00000000" w:rsidRDefault="00000000" w:rsidRPr="00000000" w14:paraId="0000004E">
      <w:pPr>
        <w:jc w:val="both"/>
        <w:rPr/>
      </w:pPr>
      <w:r w:rsidDel="00000000" w:rsidR="00000000" w:rsidRPr="00000000">
        <w:rPr>
          <w:rtl w:val="0"/>
        </w:rPr>
        <w:t xml:space="preserve">El optimizador utilizado fue Adam con función de pérdida binary_crossentropy. El entrenamiento empleó EarlyStopping (patience=20) monitoreando la val_loss, con un máximo de 150 épocas y batch_size=64.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ESTO VA ARRIBA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D.  Configuración del Random Forest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El ensemble de árboles se configuró con 100 estimadores, profundidad máxima de 10 niveles y class_weight='balanced' para compensar el desbalance de clases (91.5% negativos vs 8.5% positivos). El parámetro n_jobs=-1 permite el entrenamiento paralelo en todos los núcleos del procesador.</w:t>
      </w:r>
    </w:p>
    <w:p w:rsidR="00000000" w:rsidDel="00000000" w:rsidP="00000000" w:rsidRDefault="00000000" w:rsidRPr="00000000" w14:paraId="0000005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ESTO VA EN METRICAS UTILIZADAS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IV.  RESULTADOS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A.  Métricas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TABLA II — Comparación de Métricas (Conjunto de Prueba: 20,000 registros)</w:t>
      </w:r>
      <w:r w:rsidDel="00000000" w:rsidR="00000000" w:rsidRPr="00000000">
        <w:rPr>
          <w:rtl w:val="0"/>
        </w:rPr>
      </w:r>
    </w:p>
    <w:tbl>
      <w:tblPr>
        <w:tblStyle w:val="Table2"/>
        <w:tblW w:w="5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5"/>
        <w:gridCol w:w="1688"/>
        <w:gridCol w:w="1647"/>
        <w:tblGridChange w:id="0">
          <w:tblGrid>
            <w:gridCol w:w="1695"/>
            <w:gridCol w:w="1688"/>
            <w:gridCol w:w="1647"/>
          </w:tblGrid>
        </w:tblGridChange>
      </w:tblGrid>
      <w:tr>
        <w:trPr>
          <w:cantSplit w:val="0"/>
          <w:tblHeader w:val="0"/>
        </w:trPr>
        <w:tc>
          <w:tcPr>
            <w:shd w:fill="1a3a6d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d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Red Neuronal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6d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Random Forest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97.23%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90.31%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AUC-ROC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0.9771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0.9764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F1-Score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0.8058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0.6157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0.4643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0.6747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0.9135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Mejor 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AUC-ROC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B.  Gráfico Comparativo de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258389" cy="1842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8389" cy="1842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sz w:val="16"/>
          <w:szCs w:val="16"/>
          <w:rtl w:val="0"/>
        </w:rPr>
        <w:t xml:space="preserve">Fig. 1. Comparación de métricas — Red Neuronal vs Random Forest (dataset de Diabetes).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C.  Matrices de Confusión</w:t>
      </w:r>
      <w:r w:rsidDel="00000000" w:rsidR="00000000" w:rsidRPr="00000000">
        <w:rPr>
          <w:rtl w:val="0"/>
        </w:rPr>
      </w:r>
    </w:p>
    <w:tbl>
      <w:tblPr>
        <w:tblStyle w:val="Table3"/>
        <w:tblW w:w="5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5"/>
        <w:gridCol w:w="2515"/>
        <w:tblGridChange w:id="0">
          <w:tblGrid>
            <w:gridCol w:w="2515"/>
            <w:gridCol w:w="2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86345" cy="1252538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345" cy="1252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1483066" cy="125253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066" cy="12525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jc w:val="center"/>
        <w:rPr>
          <w:highlight w:val="yellow"/>
        </w:rPr>
      </w:pPr>
      <w:r w:rsidDel="00000000" w:rsidR="00000000" w:rsidRPr="00000000">
        <w:rPr>
          <w:sz w:val="16"/>
          <w:szCs w:val="16"/>
          <w:rtl w:val="0"/>
        </w:rPr>
        <w:t xml:space="preserve">Fig. 2. Matrices de confusión — Izquierda: Red Neuronal (VP=1,147, FP=0, FN=553, VN=18,300). Derecha: Random Forest (VP=1,553, FP=1,792, FN=147, VN=16,508).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r w:rsidDel="00000000" w:rsidR="00000000" w:rsidRPr="00000000">
        <w:rPr>
          <w:rtl w:val="0"/>
        </w:rPr>
        <w:t xml:space="preserve">V.  ANÁLISIS Y DISCUSIÓN</w:t>
      </w:r>
    </w:p>
    <w:p w:rsidR="00000000" w:rsidDel="00000000" w:rsidP="00000000" w:rsidRDefault="00000000" w:rsidRPr="00000000" w14:paraId="0000007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COMPARACION DE OTROS TRABAJOS (LOS DE ARRIBA, 5 MINIMO, CON ESTE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  <w:t xml:space="preserve">En términos de Accuracy, Red Neuronal obtuvo el mejor resultado (97.23% vs 90.31%). Sin embargo, dado el notable desbalance de clases del dataset (91.5% negativos), el Accuracy por sí solo no es la métrica más representativa.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El AUC-ROC, que mide la capacidad discriminante del modelo independientemente del umbral de decisión, fue superior en Red Neuronal (0.9771 vs 0.9764). Un AUC cercano a 1.0 indica que el modelo tiene alta capacidad de separar diabéticos de no diabéticos a través de todos los umbrales posibles.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El F1-Score, que balancea Precisión y Recall en la clase positiva (diabéticos), fue mayor para Red Neuronal (0.8058 vs 0.6157). En contextos clínicos, el Recall (sensibilidad) es especialmente crítico: un falso negativo (paciente diabético clasificado como sano) tiene mayor costo médico que un falso positivo. En esta métrica, Random Forest mostró superioridad (0.9135).</w:t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El uso de class_weight='balanced' en el Random Forest y la combinación de Dropout + regularización L2 en la Red Neuronal fueron estrategias clave para manejar el desbalance de clases sin recurrir a técnicas de sobremuestreo (SMOTE, etc.). Ambos enfoques lograron detectar positivos reales más allá de lo que un clasificador trivial haría.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tl w:val="0"/>
        </w:rPr>
        <w:t xml:space="preserve">VI.  CONCLUSIONES</w:t>
      </w:r>
    </w:p>
    <w:p w:rsidR="00000000" w:rsidDel="00000000" w:rsidP="00000000" w:rsidRDefault="00000000" w:rsidRPr="00000000" w14:paraId="0000008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RESULTADO 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Se compararon dos modelos de Machine Learning para la detección de Diabetes Mellitus Tipo 2 sobre un dataset de 100,000 registros clínicos reales. En una evaluación global, Red Neuronal mostró un rendimiento ligeramente superior considerando el balance entre AUC-ROC y F1-Score, aunque ambos modelos presentan fortalezas complementarias.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• La Red Neuronal logró un Accuracy de 97.23% y AUC de 0.9771, capturando relaciones no lineales entre variables clínicas.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• El Random Forest alcanzó un Accuracy de 90.31% y AUC de 0.9764, con mayor interpretabilidad y resistencia natural al sobreajuste.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• Las variables HbA1c y glucosa en sangre son los predictores dominantes, consistentes con los criterios diagnósticos de la ADA (American Diabetes Association).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• El desbalance de clases (91.5% / 8.5%) requirió técnicas específicas: Dropout + L2 para la RNA y class_weight='balanced' para el Random Forest.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• Ambos modelos están integrados en una aplicación web Flask con selección dinámica por el usuario vía formulario.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VII.  REFERENCIAS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sz w:val="18"/>
          <w:szCs w:val="18"/>
          <w:rtl w:val="0"/>
        </w:rPr>
        <w:t xml:space="preserve">[1] World Health Organization (OMS). "Diabetes." WHO Fact Sheets, 2023. Disponible en: https://www.who.int/news-room/fact-sheets/detail/diabetes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sz w:val="18"/>
          <w:szCs w:val="18"/>
          <w:rtl w:val="0"/>
        </w:rPr>
        <w:t xml:space="preserve">[2] F. Chollet et al. Keras. GitHub, 2015. Disponible en: https://github.com/fchollet/keras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sz w:val="18"/>
          <w:szCs w:val="18"/>
          <w:rtl w:val="0"/>
        </w:rPr>
        <w:t xml:space="preserve">[3] F. Pedregosa et al. "Scikit-learn: Machine Learning in Python." Journal of Machine Learning Research, vol. 12, pp. 2825–2830, 2011.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sz w:val="18"/>
          <w:szCs w:val="18"/>
          <w:rtl w:val="0"/>
        </w:rPr>
        <w:t xml:space="preserve">[4] L. Breiman. "Random Forests." Machine Learning, vol. 45, no. 1, pp. 5–32, 2001.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sz w:val="18"/>
          <w:szCs w:val="18"/>
          <w:rtl w:val="0"/>
        </w:rPr>
        <w:t xml:space="preserve">[5] M. Abadi et al. "TensorFlow: Large-Scale Machine Learning on Heterogeneous Systems." OSDI, 2016. Disponible en: https://www.tensorflow.org/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sz w:val="18"/>
          <w:szCs w:val="18"/>
          <w:rtl w:val="0"/>
        </w:rPr>
        <w:t xml:space="preserve">[6] American Diabetes Association. "Standards of Care in Diabetes—2023 ." Diabetes Care, vol. 46, Supplement 1, pp. S1–S291, Jan.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[7] Kaggle. "Diabetes Prediction Dataset." Disponible en: </w:t>
      </w:r>
      <w:hyperlink r:id="rId11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https://www.kaggle.com/datasets/iammustafatz/diabetes-prediction-dataset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DE 15 REFERENCIAS  A MÁS</w:t>
      </w:r>
    </w:p>
    <w:sectPr>
      <w:type w:val="continuous"/>
      <w:pgSz w:h="15840" w:w="12240" w:orient="portrait"/>
      <w:pgMar w:bottom="1890" w:top="1080" w:left="900" w:right="900" w:header="720" w:footer="720"/>
      <w:cols w:equalWidth="0" w:num="2">
        <w:col w:space="360" w:w="5040"/>
        <w:col w:space="0" w:w="5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440"/>
      </w:tabs>
      <w:spacing w:after="0" w:before="0" w:line="240" w:lineRule="auto"/>
      <w:ind w:left="0" w:right="0" w:firstLine="0"/>
      <w:jc w:val="left"/>
      <w:rPr>
        <w:rFonts w:ascii="Times" w:cs="Times" w:eastAsia="Times" w:hAnsi="Times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 xml:space="preserve">.</w:t>
      <w:tab/>
      <w:t xml:space="preserve"> </w:t>
      <w:tab/>
    </w:r>
    <w:r w:rsidDel="00000000" w:rsidR="00000000" w:rsidRPr="00000000">
      <w:rPr>
        <w:rFonts w:ascii="Times" w:cs="Times" w:eastAsia="Times" w:hAnsi="Time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  <w:ind w:firstLine="360"/>
      <w:jc w:val="center"/>
    </w:pPr>
    <w:rPr>
      <w:rFonts w:ascii="Times New Roman" w:cs="Times New Roman" w:eastAsia="Times New Roman" w:hAnsi="Times New Roman"/>
      <w:smallCaps w:val="1"/>
    </w:rPr>
  </w:style>
  <w:style w:type="paragraph" w:styleId="Heading2">
    <w:name w:val="heading 2"/>
    <w:basedOn w:val="Normal"/>
    <w:next w:val="Normal"/>
    <w:pPr>
      <w:jc w:val="both"/>
    </w:pPr>
    <w:rPr>
      <w:rFonts w:ascii="Times New Roman" w:cs="Times New Roman" w:eastAsia="Times New Roman" w:hAnsi="Times New Roman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="240" w:lineRule="auto"/>
      <w:ind w:left="0" w:right="0" w:firstLine="0"/>
      <w:jc w:val="left"/>
    </w:pPr>
    <w:rPr>
      <w:rFonts w:ascii="Times" w:cs="Times" w:eastAsia="Times" w:hAnsi="Ti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kaggle.com/datasets/iammustafatz/diabetes-prediction-dataset" TargetMode="Externa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bbuJJ6Xn6XaZjMl8wUz25OtTLg==">CgMxLjAyDmguc3gxMWNtdDJveWJsOAByITFvOEtwZkxRRmNRMEZZMlg4a19CS19rMUg2alh5M1B4NQ==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