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2"/>
          <w:szCs w:val="32"/>
        </w:rPr>
        <w:t xml:space="preserve">DRG Prediction at Hospital El Pino Using Machine Learning: A Baseline Study with Random Forest and Multilayer Perceptron</w:t>
      </w:r>
    </w:p>
    <w:p>
      <w:pPr>
        <w:spacing w:after="80"/>
        <w:jc w:val="center"/>
      </w:pPr>
      <w:r>
        <w:rPr>
          <w:rFonts w:ascii="Times New Roman" w:cs="Times New Roman" w:eastAsia="Times New Roman" w:hAnsi="Times New Roman"/>
          <w:i/>
          <w:iCs/>
          <w:sz w:val="20"/>
          <w:szCs w:val="20"/>
        </w:rPr>
        <w:t xml:space="preserve">Gonzalo Anabalón Anziani, Alex Arancibia Aranis, Pablo Martínez Chapa, Felipe Oregón Reyes, Martín Sáez Medina</w:t>
      </w:r>
    </w:p>
    <w:p>
      <w:pPr>
        <w:spacing w:after="80"/>
        <w:jc w:val="center"/>
      </w:pPr>
      <w:r>
        <w:rPr>
          <w:rFonts w:ascii="Times New Roman" w:cs="Times New Roman" w:eastAsia="Times New Roman" w:hAnsi="Times New Roman"/>
          <w:sz w:val="18"/>
          <w:szCs w:val="18"/>
        </w:rPr>
        <w:t xml:space="preserve">Faculty of Engineering, School of Informatics, Universidad Andrés Bello, Santiago, Chile</w:t>
      </w:r>
    </w:p>
    <w:p>
      <w:pPr>
        <w:spacing w:after="80"/>
        <w:jc w:val="center"/>
      </w:pPr>
      <w:r>
        <w:rPr>
          <w:rFonts w:ascii="Times New Roman" w:cs="Times New Roman" w:eastAsia="Times New Roman" w:hAnsi="Times New Roman"/>
          <w:color w:val="555555"/>
          <w:sz w:val="18"/>
          <w:szCs w:val="18"/>
        </w:rPr>
        <w:t xml:space="preserve">Instructor: Pablo Hernan Schwarzenberg | CINF104 Machine Learning | 2026</w:t>
      </w:r>
    </w:p>
    <w:p>
      <w:pPr>
        <w:spacing w:after="80"/>
        <w:jc w:val="center"/>
      </w:pPr>
      <w:r>
        <w:rPr>
          <w:rFonts w:ascii="Times New Roman" w:cs="Times New Roman" w:eastAsia="Times New Roman" w:hAnsi="Times New Roman"/>
          <w:color w:val="1155CC"/>
          <w:sz w:val="18"/>
          <w:szCs w:val="18"/>
        </w:rPr>
        <w:t xml:space="preserve">GitHub Repository: https://github.com/grupo5-cinf104/drg-prediction-elpino</w:t>
      </w:r>
    </w:p>
    <w:p>
      <w:pPr>
        <w:pBdr>
          <w:bottom w:val="single" w:color="CCCCCC" w:sz="6" w:space="1"/>
        </w:pBdr>
        <w:spacing w:after="160"/>
      </w:pPr>
      <w:r>
        <w:rPr>
          <w:sz w:val="20"/>
          <w:szCs w:val="20"/>
        </w:rPr>
        <w:t xml:space="preserve"/>
      </w:r>
    </w:p>
    <w:p>
      <w:pPr>
        <w:spacing w:after="80"/>
        <w:jc w:val="center"/>
      </w:pPr>
      <w:r>
        <w:rPr>
          <w:rFonts w:ascii="Times New Roman" w:cs="Times New Roman" w:eastAsia="Times New Roman" w:hAnsi="Times New Roman"/>
          <w:b/>
          <w:bCs/>
          <w:sz w:val="22"/>
          <w:szCs w:val="22"/>
        </w:rPr>
        <w:t xml:space="preserve">Abstract</w:t>
      </w:r>
    </w:p>
    <w:p>
      <w:pPr>
        <w:spacing w:after="160" w:before="0"/>
        <w:ind w:left="360" w:right="360"/>
        <w:jc w:val="both"/>
      </w:pPr>
      <w:r>
        <w:rPr>
          <w:rFonts w:ascii="Times New Roman" w:cs="Times New Roman" w:eastAsia="Times New Roman" w:hAnsi="Times New Roman"/>
          <w:i/>
          <w:iCs/>
          <w:sz w:val="18"/>
          <w:szCs w:val="18"/>
        </w:rPr>
        <w:t xml:space="preserve">This paper presents the first progress report of a machine learning project aimed at automatically classifying patients into Diagnosis-Related Groups (DRGs) at Hospital El Pino, a public hospital in the Metropolitan Region of Chile. Using a dataset of 14,417 anonymized clinical records with 68 variables, we trained and evaluated two multiclass classifiers — Random Forest and Multilayer Perceptron (MLP) — using three input features: patient age, sex, and primary ICD-10 diagnosis. The Random Forest baseline achieved 37.41% accuracy and a weighted F1-score of 0.3512 across 183 DRG classes, outperforming the MLP baseline (34.87%) while requiring less training time. Exploratory Data Analysis revealed significant class imbalance, with the top 10 DRGs accounting for over 38% of all admissions. Comparison with related literature indicates considerable room for improvement through feature engineering, secondary diagnosis integration, and NLP-based encoding. Future work will focus on oversampling techniques and hyperparameter optimization to improve minority class prediction.</w:t>
      </w:r>
    </w:p>
    <w:p>
      <w:pPr>
        <w:spacing w:after="160"/>
        <w:ind w:left="360" w:right="3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 Diagnosis-Related Groups, DRG prediction, Random Forest, Multilayer Perceptron, ICD-10, Hospital El Pino, class imbalance, healthcare informatics, Chile.</w:t>
      </w:r>
    </w:p>
    <w:p>
      <w:pPr>
        <w:pBdr>
          <w:bottom w:val="single" w:color="CCCCCC" w:sz="6" w:space="1"/>
        </w:pBdr>
        <w:spacing w:after="160"/>
      </w:pPr>
      <w:r>
        <w:rPr>
          <w:sz w:val="20"/>
          <w:szCs w:val="20"/>
        </w:rPr>
        <w:t xml:space="preserve"/>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I. INTRODUCTION</w:t>
      </w:r>
    </w:p>
    <w:p>
      <w:pPr>
        <w:spacing w:after="60" w:before="60"/>
        <w:jc w:val="both"/>
      </w:pPr>
      <w:r>
        <w:rPr>
          <w:rFonts w:ascii="Times New Roman" w:cs="Times New Roman" w:eastAsia="Times New Roman" w:hAnsi="Times New Roman"/>
          <w:sz w:val="20"/>
          <w:szCs w:val="20"/>
        </w:rPr>
        <w:t xml:space="preserve">In the current context of public health in Chile, resource optimization and efficiency in hospital management are fundamental pillars for ensuring quality care. Hospital El Pino, located in the southern zone of the Metropolitan Region, serves one of the country's most densely populated and economically vulnerable communes, facing a persistently high demand for healthcare services that requires advanced technological tools for decision-making.</w:t>
      </w:r>
    </w:p>
    <w:p>
      <w:pPr>
        <w:spacing w:after="60" w:before="60"/>
        <w:jc w:val="both"/>
      </w:pPr>
      <w:r>
        <w:rPr>
          <w:rFonts w:ascii="Times New Roman" w:cs="Times New Roman" w:eastAsia="Times New Roman" w:hAnsi="Times New Roman"/>
          <w:sz w:val="20"/>
          <w:szCs w:val="20"/>
        </w:rPr>
        <w:t xml:space="preserve">One of the most critical systems for healthcare management is the Diagnosis-Related Groups (DRG) system, known in Chile as Grupos Relacionados por el Diagnóstico (GRD). This classification framework groups patients with clinically similar conditions and homogeneous resource consumption, facilitating not only operational planning — such as bed allocation and staffing — but also financial management through the Fondo Nacional de Salud (Fonasa). The Fonasa IR-DRG fee schedule assigns a relative weight and a monetary value to each DRG, making accurate DRG classification a key factor in hospital revenue and financial sustainability.</w:t>
      </w:r>
    </w:p>
    <w:p>
      <w:pPr>
        <w:spacing w:after="60" w:before="60"/>
        <w:jc w:val="both"/>
      </w:pPr>
      <w:r>
        <w:rPr>
          <w:rFonts w:ascii="Times New Roman" w:cs="Times New Roman" w:eastAsia="Times New Roman" w:hAnsi="Times New Roman"/>
          <w:sz w:val="20"/>
          <w:szCs w:val="20"/>
        </w:rPr>
        <w:t xml:space="preserve">However, manual or rule-based DRG classification is inherently complex. Each patient record may contain dozens of ICD-10 diagnostic and procedural codes with no predefined ordering, making consistent coding a challenge even for experienced clinical coders. Errors in classification can result in underpayment, audits, or loss of revenue for the institution.</w:t>
      </w:r>
    </w:p>
    <w:p>
      <w:pPr>
        <w:spacing w:after="60" w:before="60"/>
        <w:jc w:val="both"/>
      </w:pPr>
      <w:r>
        <w:rPr>
          <w:rFonts w:ascii="Times New Roman" w:cs="Times New Roman" w:eastAsia="Times New Roman" w:hAnsi="Times New Roman"/>
          <w:sz w:val="20"/>
          <w:szCs w:val="20"/>
        </w:rPr>
        <w:t xml:space="preserve">The present study addresses this challenge through the application of supervised Machine Learning (ML) techniques. The main objective is to develop and evaluate predictive models — specifically a Random Forest classifier and a Multilayer Perceptron (MLP) neural network — that allow for the automatic classification of a patient's DRG based on their demographic data and primary diagnosis code. This report documents the first phase of the project, detailing the Exploratory Data Analysis (EDA), the preprocessing methodology, the feature selection justification, and the preliminary results obtained with two baseline models.</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II. BIBLIOGRAPHIC REFERENCES</w:t>
      </w:r>
    </w:p>
    <w:p>
      <w:pPr>
        <w:spacing w:after="60" w:before="60"/>
        <w:jc w:val="both"/>
      </w:pPr>
      <w:r>
        <w:rPr>
          <w:rFonts w:ascii="Times New Roman" w:cs="Times New Roman" w:eastAsia="Times New Roman" w:hAnsi="Times New Roman"/>
          <w:sz w:val="20"/>
          <w:szCs w:val="20"/>
        </w:rPr>
        <w:t xml:space="preserve">[1] Breiman, L. (2001). Random Forests. Machine Learning, 45(1), 5–32. https://doi.org/10.1023/A:1010933404324</w:t>
      </w:r>
    </w:p>
    <w:p>
      <w:pPr>
        <w:spacing w:after="60" w:before="60"/>
        <w:jc w:val="both"/>
      </w:pPr>
      <w:r>
        <w:rPr>
          <w:rFonts w:ascii="Times New Roman" w:cs="Times New Roman" w:eastAsia="Times New Roman" w:hAnsi="Times New Roman"/>
          <w:sz w:val="20"/>
          <w:szCs w:val="20"/>
        </w:rPr>
        <w:t xml:space="preserve">[2] Yu, X., &amp; Zhang, Y. (2022). Application of machine learning algorithms to predict Diagnosis-Related Groups (DRGs) in hospital settings. Journal of Healthcare Informatics Research, 6(2), 150–168. https://doi.org/10.1007/s41666-021-00102-5</w:t>
      </w:r>
    </w:p>
    <w:p>
      <w:pPr>
        <w:spacing w:after="60" w:before="60"/>
        <w:jc w:val="both"/>
      </w:pPr>
      <w:r>
        <w:rPr>
          <w:rFonts w:ascii="Times New Roman" w:cs="Times New Roman" w:eastAsia="Times New Roman" w:hAnsi="Times New Roman"/>
          <w:sz w:val="20"/>
          <w:szCs w:val="20"/>
        </w:rPr>
        <w:t xml:space="preserve">[3] Sushmita, S., et al. (2021). Predicting clinical outcomes and hospital resource utilization using artificial intelligence. Artificial Intelligence in Medicine, 114, 102043. https://doi.org/10.1016/j.artmed.2021.102043</w:t>
      </w:r>
    </w:p>
    <w:p>
      <w:pPr>
        <w:spacing w:after="60" w:before="60"/>
        <w:jc w:val="both"/>
      </w:pPr>
      <w:r>
        <w:rPr>
          <w:rFonts w:ascii="Times New Roman" w:cs="Times New Roman" w:eastAsia="Times New Roman" w:hAnsi="Times New Roman"/>
          <w:sz w:val="20"/>
          <w:szCs w:val="20"/>
        </w:rPr>
        <w:t xml:space="preserve">[4] Ministerio de Salud de Chile. (2023). Manual de Grupos Relacionados por el Diagnóstico (GRD-IR). Fonasa División de Cuentas Médicas.</w:t>
      </w:r>
    </w:p>
    <w:p>
      <w:pPr>
        <w:spacing w:after="60" w:before="60"/>
        <w:jc w:val="both"/>
      </w:pPr>
      <w:r>
        <w:rPr>
          <w:rFonts w:ascii="Times New Roman" w:cs="Times New Roman" w:eastAsia="Times New Roman" w:hAnsi="Times New Roman"/>
          <w:sz w:val="20"/>
          <w:szCs w:val="20"/>
        </w:rPr>
        <w:t xml:space="preserve">[5] Scikit-learn developers. (2024). scikit-learn: Machine Learning in Python. https://scikit-learn.org/stable/</w:t>
      </w:r>
    </w:p>
    <w:p>
      <w:pPr>
        <w:spacing w:after="60" w:before="60"/>
        <w:jc w:val="both"/>
      </w:pPr>
      <w:r>
        <w:rPr>
          <w:rFonts w:ascii="Times New Roman" w:cs="Times New Roman" w:eastAsia="Times New Roman" w:hAnsi="Times New Roman"/>
          <w:sz w:val="20"/>
          <w:szCs w:val="20"/>
        </w:rPr>
        <w:t xml:space="preserve">[6] Pedregosa, F., et al. (2011). Scikit-learn: Machine Learning in Python. Journal of Machine Learning Research, 12, 2825–2830.</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III. STUDY OBJECTIVE</w:t>
      </w:r>
    </w:p>
    <w:p>
      <w:pPr>
        <w:spacing w:after="80" w:before="180"/>
      </w:pPr>
      <w:r>
        <w:rPr>
          <w:rFonts w:ascii="Times New Roman" w:cs="Times New Roman" w:eastAsia="Times New Roman" w:hAnsi="Times New Roman"/>
          <w:b/>
          <w:bCs/>
          <w:i/>
          <w:iCs/>
          <w:sz w:val="22"/>
          <w:szCs w:val="22"/>
        </w:rPr>
        <w:t xml:space="preserve">A. General Objective</w:t>
      </w:r>
    </w:p>
    <w:p>
      <w:pPr>
        <w:spacing w:after="60" w:before="60"/>
        <w:jc w:val="both"/>
      </w:pPr>
      <w:r>
        <w:rPr>
          <w:rFonts w:ascii="Times New Roman" w:cs="Times New Roman" w:eastAsia="Times New Roman" w:hAnsi="Times New Roman"/>
          <w:sz w:val="20"/>
          <w:szCs w:val="20"/>
        </w:rPr>
        <w:t xml:space="preserve">To develop a predictive model based on machine learning classification algorithms capable of automatically determining the Diagnosis-Related Group (DRG) of patients at Hospital El Pino, using demographic and clinical characteristics available at the time of hospital admission.</w:t>
      </w:r>
    </w:p>
    <w:p>
      <w:pPr>
        <w:spacing w:after="80" w:before="180"/>
      </w:pPr>
      <w:r>
        <w:rPr>
          <w:rFonts w:ascii="Times New Roman" w:cs="Times New Roman" w:eastAsia="Times New Roman" w:hAnsi="Times New Roman"/>
          <w:b/>
          <w:bCs/>
          <w:i/>
          <w:iCs/>
          <w:sz w:val="22"/>
          <w:szCs w:val="22"/>
        </w:rPr>
        <w:t xml:space="preserve">B. Specific Objectives</w:t>
      </w:r>
    </w:p>
    <w:p>
      <w:pPr>
        <w:pStyle w:val="ListParagraph"/>
        <w:numPr>
          <w:ilvl w:val="0"/>
          <w:numId w:val="2"/>
        </w:numPr>
        <w:spacing w:after="40" w:before="40"/>
      </w:pPr>
      <w:r>
        <w:rPr>
          <w:rFonts w:ascii="Times New Roman" w:cs="Times New Roman" w:eastAsia="Times New Roman" w:hAnsi="Times New Roman"/>
          <w:sz w:val="20"/>
          <w:szCs w:val="20"/>
        </w:rPr>
        <w:t xml:space="preserve">To perform a comprehensive Exploratory Data Analysis (EDA) on the clinical records database, evaluating data completeness, identifying class imbalance, detecting outliers, and computing descriptive statistics of the key variables.</w:t>
      </w:r>
    </w:p>
    <w:p>
      <w:pPr>
        <w:pStyle w:val="ListParagraph"/>
        <w:numPr>
          <w:ilvl w:val="0"/>
          <w:numId w:val="2"/>
        </w:numPr>
        <w:spacing w:after="40" w:before="40"/>
      </w:pPr>
      <w:r>
        <w:rPr>
          <w:rFonts w:ascii="Times New Roman" w:cs="Times New Roman" w:eastAsia="Times New Roman" w:hAnsi="Times New Roman"/>
          <w:sz w:val="20"/>
          <w:szCs w:val="20"/>
        </w:rPr>
        <w:t xml:space="preserve">To apply preprocessing techniques for the cleaning, encoding, and normalization of categorical variables, focusing in this first phase on age, sex, and primary ICD-10 diagnosis, while documenting the handling of missing values in secondary fields.</w:t>
      </w:r>
    </w:p>
    <w:p>
      <w:pPr>
        <w:pStyle w:val="ListParagraph"/>
        <w:numPr>
          <w:ilvl w:val="0"/>
          <w:numId w:val="2"/>
        </w:numPr>
        <w:spacing w:after="40" w:before="40"/>
      </w:pPr>
      <w:r>
        <w:rPr>
          <w:rFonts w:ascii="Times New Roman" w:cs="Times New Roman" w:eastAsia="Times New Roman" w:hAnsi="Times New Roman"/>
          <w:sz w:val="20"/>
          <w:szCs w:val="20"/>
        </w:rPr>
        <w:t xml:space="preserve">To train and compare the performance of four multiclass classifiers — Random Forest, Multilayer Perceptron, Decision Tree, and Logistic Regression — using standard evaluation metrics (Accuracy and weighted F1-Score), and to justify the selection of the best-performing model based on experimental evidence.</w:t>
      </w:r>
    </w:p>
    <w:p>
      <w:pPr>
        <w:pStyle w:val="ListParagraph"/>
        <w:numPr>
          <w:ilvl w:val="0"/>
          <w:numId w:val="2"/>
        </w:numPr>
        <w:spacing w:after="40" w:before="40"/>
      </w:pPr>
      <w:r>
        <w:rPr>
          <w:rFonts w:ascii="Times New Roman" w:cs="Times New Roman" w:eastAsia="Times New Roman" w:hAnsi="Times New Roman"/>
          <w:sz w:val="20"/>
          <w:szCs w:val="20"/>
        </w:rPr>
        <w:t xml:space="preserve">To compare the results obtained with published benchmarks in the healthcare informatics literature, identifying the gap in performance attributable to the limited feature set used in this baseline phase.</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IV. METHODOLOGY</w:t>
      </w:r>
    </w:p>
    <w:p>
      <w:pPr>
        <w:spacing w:after="80" w:before="180"/>
      </w:pPr>
      <w:r>
        <w:rPr>
          <w:rFonts w:ascii="Times New Roman" w:cs="Times New Roman" w:eastAsia="Times New Roman" w:hAnsi="Times New Roman"/>
          <w:b/>
          <w:bCs/>
          <w:i/>
          <w:iCs/>
          <w:sz w:val="22"/>
          <w:szCs w:val="22"/>
        </w:rPr>
        <w:t xml:space="preserve">A. Database Description</w:t>
      </w:r>
    </w:p>
    <w:p>
      <w:pPr>
        <w:spacing w:after="60" w:before="60"/>
        <w:jc w:val="both"/>
      </w:pPr>
      <w:r>
        <w:rPr>
          <w:rFonts w:ascii="Times New Roman" w:cs="Times New Roman" w:eastAsia="Times New Roman" w:hAnsi="Times New Roman"/>
          <w:sz w:val="20"/>
          <w:szCs w:val="20"/>
        </w:rPr>
        <w:t xml:space="preserve">The study is based on the primary dataset (dataset_elpino.csv) provided for this project, which contains 14,417 anonymized clinical records from Hospital El Pino. After exploration and null-value handling, a clean working file (dataset_elpino_limpio.csv) was consolidated for the model training phase. The dataset encompasses the following information sources:</w:t>
      </w:r>
    </w:p>
    <w:p>
      <w:pPr>
        <w:pStyle w:val="ListParagraph"/>
        <w:numPr>
          <w:ilvl w:val="0"/>
          <w:numId w:val="2"/>
        </w:numPr>
        <w:spacing w:after="40" w:before="40"/>
      </w:pPr>
      <w:r>
        <w:rPr>
          <w:rFonts w:ascii="Times New Roman" w:cs="Times New Roman" w:eastAsia="Times New Roman" w:hAnsi="Times New Roman"/>
          <w:sz w:val="20"/>
          <w:szCs w:val="20"/>
        </w:rPr>
        <w:t xml:space="preserve">Primary Dataset (dataset_elpino.csv): 14,417 records, 68 variables including demographic data (age, sex), up to 34 diagnostic fields (ICD-10), procedural codes, and the target variable (DRG code with description).</w:t>
      </w:r>
    </w:p>
    <w:p>
      <w:pPr>
        <w:pStyle w:val="ListParagraph"/>
        <w:numPr>
          <w:ilvl w:val="0"/>
          <w:numId w:val="2"/>
        </w:numPr>
        <w:spacing w:after="40" w:before="40"/>
      </w:pPr>
      <w:r>
        <w:rPr>
          <w:rFonts w:ascii="Times New Roman" w:cs="Times New Roman" w:eastAsia="Times New Roman" w:hAnsi="Times New Roman"/>
          <w:sz w:val="20"/>
          <w:szCs w:val="20"/>
        </w:rPr>
        <w:t xml:space="preserve">Medical Dictionaries (ICD-9 and ICD-10): Used as master tables for validation and standardization of diagnostic and procedural codes, ensuring terminological consistency.</w:t>
      </w:r>
    </w:p>
    <w:p>
      <w:pPr>
        <w:pStyle w:val="ListParagraph"/>
        <w:numPr>
          <w:ilvl w:val="0"/>
          <w:numId w:val="2"/>
        </w:numPr>
        <w:spacing w:after="40" w:before="40"/>
      </w:pPr>
      <w:r>
        <w:rPr>
          <w:rFonts w:ascii="Times New Roman" w:cs="Times New Roman" w:eastAsia="Times New Roman" w:hAnsi="Times New Roman"/>
          <w:sz w:val="20"/>
          <w:szCs w:val="20"/>
        </w:rPr>
        <w:t xml:space="preserve">DRG Master Tables: Employed for technical interpretation of the target variable, enabling classification of results by clinical severity and expected mortality.</w:t>
      </w:r>
    </w:p>
    <w:p>
      <w:pPr>
        <w:pStyle w:val="ListParagraph"/>
        <w:numPr>
          <w:ilvl w:val="0"/>
          <w:numId w:val="2"/>
        </w:numPr>
        <w:spacing w:after="40" w:before="40"/>
      </w:pPr>
      <w:r>
        <w:rPr>
          <w:rFonts w:ascii="Times New Roman" w:cs="Times New Roman" w:eastAsia="Times New Roman" w:hAnsi="Times New Roman"/>
          <w:sz w:val="20"/>
          <w:szCs w:val="20"/>
        </w:rPr>
        <w:t xml:space="preserve">Fonasa IR-DRG Fee Schedule: Provided the economic context and relative weights for each DRG, justifying the project's relevance in terms of financial efficiency for Hospital El Pino.</w:t>
      </w:r>
    </w:p>
    <w:p>
      <w:pPr>
        <w:spacing w:after="60" w:before="60"/>
        <w:jc w:val="both"/>
      </w:pPr>
      <w:r>
        <w:rPr>
          <w:rFonts w:ascii="Times New Roman" w:cs="Times New Roman" w:eastAsia="Times New Roman" w:hAnsi="Times New Roman"/>
          <w:sz w:val="20"/>
          <w:szCs w:val="20"/>
        </w:rPr>
        <w:t xml:space="preserve">For this initial baseline phase, the feature space was restricted to the three most deterministic and complete variables: Age (Edad en años), Sex (Sexo), and Primary Diagnosis 01 (Diagnóstico 01 Principal), with the DRG column as the target. Justification for this selection is provided in Section VI.A.</w:t>
      </w:r>
    </w:p>
    <w:p>
      <w:pPr>
        <w:spacing w:after="80" w:before="180"/>
      </w:pPr>
      <w:r>
        <w:rPr>
          <w:rFonts w:ascii="Times New Roman" w:cs="Times New Roman" w:eastAsia="Times New Roman" w:hAnsi="Times New Roman"/>
          <w:b/>
          <w:bCs/>
          <w:i/>
          <w:iCs/>
          <w:sz w:val="22"/>
          <w:szCs w:val="22"/>
        </w:rPr>
        <w:t xml:space="preserve">B. Data Preprocessing</w:t>
      </w:r>
    </w:p>
    <w:p>
      <w:pPr>
        <w:spacing w:after="60" w:before="60"/>
        <w:jc w:val="both"/>
      </w:pPr>
      <w:r>
        <w:rPr>
          <w:rFonts w:ascii="Times New Roman" w:cs="Times New Roman" w:eastAsia="Times New Roman" w:hAnsi="Times New Roman"/>
          <w:sz w:val="20"/>
          <w:szCs w:val="20"/>
        </w:rPr>
        <w:t xml:space="preserve">Data processing was carried out in Python (v3.11) using the Pandas and Scikit-Learn libraries, following these sequential stages:</w:t>
      </w:r>
    </w:p>
    <w:p>
      <w:pPr>
        <w:pStyle w:val="ListParagraph"/>
        <w:numPr>
          <w:ilvl w:val="0"/>
          <w:numId w:val="2"/>
        </w:numPr>
        <w:spacing w:after="40" w:before="40"/>
      </w:pPr>
      <w:r>
        <w:rPr>
          <w:rFonts w:ascii="Times New Roman" w:cs="Times New Roman" w:eastAsia="Times New Roman" w:hAnsi="Times New Roman"/>
          <w:sz w:val="20"/>
          <w:szCs w:val="20"/>
        </w:rPr>
        <w:t xml:space="preserve">Null Value Handling: Absent secondary diagnoses were encoded with dashes ("-") in the source dataset. A filtering step removed records with null values in the target variable (DRG). No null values were found in the three primary features.</w:t>
      </w:r>
    </w:p>
    <w:p>
      <w:pPr>
        <w:pStyle w:val="ListParagraph"/>
        <w:numPr>
          <w:ilvl w:val="0"/>
          <w:numId w:val="2"/>
        </w:numPr>
        <w:spacing w:after="40" w:before="40"/>
      </w:pPr>
      <w:r>
        <w:rPr>
          <w:rFonts w:ascii="Times New Roman" w:cs="Times New Roman" w:eastAsia="Times New Roman" w:hAnsi="Times New Roman"/>
          <w:sz w:val="20"/>
          <w:szCs w:val="20"/>
        </w:rPr>
        <w:t xml:space="preserve">Outlier Detection: Age values above 110 years were flagged as potential data entry errors; three such records (ages 111, 114, 112) were identified and retained for analysis but noted as statistical outliers.</w:t>
      </w:r>
    </w:p>
    <w:p>
      <w:pPr>
        <w:pStyle w:val="ListParagraph"/>
        <w:numPr>
          <w:ilvl w:val="0"/>
          <w:numId w:val="2"/>
        </w:numPr>
        <w:spacing w:after="40" w:before="40"/>
      </w:pPr>
      <w:r>
        <w:rPr>
          <w:rFonts w:ascii="Times New Roman" w:cs="Times New Roman" w:eastAsia="Times New Roman" w:hAnsi="Times New Roman"/>
          <w:sz w:val="20"/>
          <w:szCs w:val="20"/>
        </w:rPr>
        <w:t xml:space="preserve">Variable Encoding: Label Encoding was applied to transform the categorical variables Sex and Primary Diagnosis ICD-10 description into integer representations suitable for tree-based and neural network models.</w:t>
      </w:r>
    </w:p>
    <w:p>
      <w:pPr>
        <w:pStyle w:val="ListParagraph"/>
        <w:numPr>
          <w:ilvl w:val="0"/>
          <w:numId w:val="2"/>
        </w:numPr>
        <w:spacing w:after="40" w:before="40"/>
      </w:pPr>
      <w:r>
        <w:rPr>
          <w:rFonts w:ascii="Times New Roman" w:cs="Times New Roman" w:eastAsia="Times New Roman" w:hAnsi="Times New Roman"/>
          <w:sz w:val="20"/>
          <w:szCs w:val="20"/>
        </w:rPr>
        <w:t xml:space="preserve">Dataset Splitting: An 80/20 stratified train-test split was applied, guaranteeing proportional class representation in both partitions and enabling objective evaluation on data unseen by the model during training.</w:t>
      </w:r>
    </w:p>
    <w:p>
      <w:pPr>
        <w:spacing w:after="80" w:before="180"/>
      </w:pPr>
      <w:r>
        <w:rPr>
          <w:rFonts w:ascii="Times New Roman" w:cs="Times New Roman" w:eastAsia="Times New Roman" w:hAnsi="Times New Roman"/>
          <w:b/>
          <w:bCs/>
          <w:i/>
          <w:iCs/>
          <w:sz w:val="22"/>
          <w:szCs w:val="22"/>
        </w:rPr>
        <w:t xml:space="preserve">C. Selected Machine Learning Techniques</w:t>
      </w:r>
    </w:p>
    <w:p>
      <w:pPr>
        <w:spacing w:after="60" w:before="60"/>
        <w:jc w:val="both"/>
      </w:pPr>
      <w:r>
        <w:rPr>
          <w:rFonts w:ascii="Times New Roman" w:cs="Times New Roman" w:eastAsia="Times New Roman" w:hAnsi="Times New Roman"/>
          <w:sz w:val="20"/>
          <w:szCs w:val="20"/>
        </w:rPr>
        <w:t xml:space="preserve">Four classification approaches were implemented to address the 183-class prediction problem:</w:t>
      </w:r>
    </w:p>
    <w:p>
      <w:pPr>
        <w:pStyle w:val="ListParagraph"/>
        <w:numPr>
          <w:ilvl w:val="0"/>
          <w:numId w:val="2"/>
        </w:numPr>
        <w:spacing w:after="40" w:before="40"/>
      </w:pPr>
      <w:r>
        <w:rPr>
          <w:rFonts w:ascii="Times New Roman" w:cs="Times New Roman" w:eastAsia="Times New Roman" w:hAnsi="Times New Roman"/>
          <w:sz w:val="20"/>
          <w:szCs w:val="20"/>
        </w:rPr>
        <w:t xml:space="preserve">Random Forest Classifier (primary model): Selected for its ability to handle large categorical feature spaces and its robustness to overfitting through ensemble averaging. Particularly well-suited for this dataset given that diagnoses and procedures are unordered categorical entities that do not follow linear relationships.</w:t>
      </w:r>
    </w:p>
    <w:p>
      <w:pPr>
        <w:pStyle w:val="ListParagraph"/>
        <w:numPr>
          <w:ilvl w:val="0"/>
          <w:numId w:val="2"/>
        </w:numPr>
        <w:spacing w:after="40" w:before="40"/>
      </w:pPr>
      <w:r>
        <w:rPr>
          <w:rFonts w:ascii="Times New Roman" w:cs="Times New Roman" w:eastAsia="Times New Roman" w:hAnsi="Times New Roman"/>
          <w:sz w:val="20"/>
          <w:szCs w:val="20"/>
        </w:rPr>
        <w:t xml:space="preserve">Multilayer Perceptron (MLP / Neural Network): Implemented to capture complex non-linear patterns and to generate the Loss vs. Epochs learning curve required for training visualization.</w:t>
      </w:r>
    </w:p>
    <w:p>
      <w:pPr>
        <w:pStyle w:val="ListParagraph"/>
        <w:numPr>
          <w:ilvl w:val="0"/>
          <w:numId w:val="2"/>
        </w:numPr>
        <w:spacing w:after="40" w:before="40"/>
      </w:pPr>
      <w:r>
        <w:rPr>
          <w:rFonts w:ascii="Times New Roman" w:cs="Times New Roman" w:eastAsia="Times New Roman" w:hAnsi="Times New Roman"/>
          <w:sz w:val="20"/>
          <w:szCs w:val="20"/>
        </w:rPr>
        <w:t xml:space="preserve">Decision Tree (candidate baseline): Trained as a simpler reference point to quantify the contribution of ensemble learning over a single tree.</w:t>
      </w:r>
    </w:p>
    <w:p>
      <w:pPr>
        <w:pStyle w:val="ListParagraph"/>
        <w:numPr>
          <w:ilvl w:val="0"/>
          <w:numId w:val="2"/>
        </w:numPr>
        <w:spacing w:after="40" w:before="40"/>
      </w:pPr>
      <w:r>
        <w:rPr>
          <w:rFonts w:ascii="Times New Roman" w:cs="Times New Roman" w:eastAsia="Times New Roman" w:hAnsi="Times New Roman"/>
          <w:sz w:val="20"/>
          <w:szCs w:val="20"/>
        </w:rPr>
        <w:t xml:space="preserve">Logistic Regression (candidate baseline): Trained as a linear baseline to assess whether the classification boundary is inherently non-linear.</w:t>
      </w:r>
    </w:p>
    <w:p>
      <w:pPr>
        <w:spacing w:after="80" w:before="180"/>
      </w:pPr>
      <w:r>
        <w:rPr>
          <w:rFonts w:ascii="Times New Roman" w:cs="Times New Roman" w:eastAsia="Times New Roman" w:hAnsi="Times New Roman"/>
          <w:b/>
          <w:bCs/>
          <w:i/>
          <w:iCs/>
          <w:sz w:val="22"/>
          <w:szCs w:val="22"/>
        </w:rPr>
        <w:t xml:space="preserve">D. Evaluation and Selection Metrics</w:t>
      </w:r>
    </w:p>
    <w:p>
      <w:pPr>
        <w:spacing w:after="60" w:before="60"/>
        <w:jc w:val="both"/>
      </w:pPr>
      <w:r>
        <w:rPr>
          <w:rFonts w:ascii="Times New Roman" w:cs="Times New Roman" w:eastAsia="Times New Roman" w:hAnsi="Times New Roman"/>
          <w:sz w:val="20"/>
          <w:szCs w:val="20"/>
        </w:rPr>
        <w:t xml:space="preserve">The following metrics were defined to measure model quality:</w:t>
      </w:r>
    </w:p>
    <w:p>
      <w:pPr>
        <w:pStyle w:val="ListParagraph"/>
        <w:numPr>
          <w:ilvl w:val="0"/>
          <w:numId w:val="2"/>
        </w:numPr>
        <w:spacing w:after="40" w:before="40"/>
      </w:pPr>
      <w:r>
        <w:rPr>
          <w:rFonts w:ascii="Times New Roman" w:cs="Times New Roman" w:eastAsia="Times New Roman" w:hAnsi="Times New Roman"/>
          <w:sz w:val="20"/>
          <w:szCs w:val="20"/>
        </w:rPr>
        <w:t xml:space="preserve">Accuracy: The proportion of correctly classified records across all 183 DRG classes. Used as the primary ranking metric.</w:t>
      </w:r>
    </w:p>
    <w:p>
      <w:pPr>
        <w:pStyle w:val="ListParagraph"/>
        <w:numPr>
          <w:ilvl w:val="0"/>
          <w:numId w:val="2"/>
        </w:numPr>
        <w:spacing w:after="40" w:before="40"/>
      </w:pPr>
      <w:r>
        <w:rPr>
          <w:rFonts w:ascii="Times New Roman" w:cs="Times New Roman" w:eastAsia="Times New Roman" w:hAnsi="Times New Roman"/>
          <w:sz w:val="20"/>
          <w:szCs w:val="20"/>
        </w:rPr>
        <w:t xml:space="preserve">Weighted F1-Score: Given the significant class imbalance identified in EDA (top 10 DRGs account for 38% of all records), the weighted F1-Score averages per-class precision and recall weighted by class frequency, penalizing models that simply predict the majority class.</w:t>
      </w:r>
    </w:p>
    <w:p>
      <w:pPr>
        <w:pStyle w:val="ListParagraph"/>
        <w:numPr>
          <w:ilvl w:val="0"/>
          <w:numId w:val="2"/>
        </w:numPr>
        <w:spacing w:after="40" w:before="40"/>
      </w:pPr>
      <w:r>
        <w:rPr>
          <w:rFonts w:ascii="Times New Roman" w:cs="Times New Roman" w:eastAsia="Times New Roman" w:hAnsi="Times New Roman"/>
          <w:sz w:val="20"/>
          <w:szCs w:val="20"/>
        </w:rPr>
        <w:t xml:space="preserve">Confusion Matrix: A visual tool applied to the top 10 most frequent DRGs to identify where the model confuses clinically similar diagnoses.</w:t>
      </w:r>
    </w:p>
    <w:p>
      <w:pPr>
        <w:pStyle w:val="ListParagraph"/>
        <w:numPr>
          <w:ilvl w:val="0"/>
          <w:numId w:val="2"/>
        </w:numPr>
        <w:spacing w:after="40" w:before="40"/>
      </w:pPr>
      <w:r>
        <w:rPr>
          <w:rFonts w:ascii="Times New Roman" w:cs="Times New Roman" w:eastAsia="Times New Roman" w:hAnsi="Times New Roman"/>
          <w:sz w:val="20"/>
          <w:szCs w:val="20"/>
        </w:rPr>
        <w:t xml:space="preserve">Loss Curve (MLP only): The cross-entropy loss plotted against training epochs to evaluate convergence and detect overfitting.</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V. EXPLORATORY DATA ANALYSIS (EDA)</w:t>
      </w:r>
    </w:p>
    <w:p>
      <w:pPr>
        <w:spacing w:after="80" w:before="180"/>
      </w:pPr>
      <w:r>
        <w:rPr>
          <w:rFonts w:ascii="Times New Roman" w:cs="Times New Roman" w:eastAsia="Times New Roman" w:hAnsi="Times New Roman"/>
          <w:b/>
          <w:bCs/>
          <w:i/>
          <w:iCs/>
          <w:sz w:val="22"/>
          <w:szCs w:val="22"/>
        </w:rPr>
        <w:t xml:space="preserve">A. Data Completeness and Quality</w:t>
      </w:r>
    </w:p>
    <w:p>
      <w:pPr>
        <w:spacing w:after="60" w:before="60"/>
        <w:jc w:val="both"/>
      </w:pPr>
      <w:r>
        <w:rPr>
          <w:rFonts w:ascii="Times New Roman" w:cs="Times New Roman" w:eastAsia="Times New Roman" w:hAnsi="Times New Roman"/>
          <w:sz w:val="20"/>
          <w:szCs w:val="20"/>
        </w:rPr>
        <w:t xml:space="preserve">The completeness of all 68 variables was evaluated. The three primary variables selected for the baseline model (Age, Sex, and Primary Diagnosis 01) presented 100% completeness across all 14,417 records, confirming high-quality capture of basic admission information. Secondary diagnosis fields (Diagnóstico 02 to 35) and procedural codes showed a progressive increase in missingness: Diagnóstico 02 was complete in approximately 41% of records, while fields beyond Diagnóstico 10 were present in fewer than 15% of records. This pattern is clinically expected, as not all patients present multiple comorbidities.</w:t>
      </w:r>
    </w:p>
    <w:p>
      <w:pPr>
        <w:spacing w:after="60" w:before="60"/>
        <w:jc w:val="both"/>
      </w:pPr>
      <w:r>
        <w:rPr>
          <w:rFonts w:ascii="Times New Roman" w:cs="Times New Roman" w:eastAsia="Times New Roman" w:hAnsi="Times New Roman"/>
          <w:sz w:val="20"/>
          <w:szCs w:val="20"/>
        </w:rPr>
        <w:t xml:space="preserve">Regarding data correctness, sex values were binary and consistently encoded. Three age outliers exceeding 110 years were detected. ICD-10 codes were validated against the official master dictionary, with 98.7% of primary diagnosis codes matching a valid ICD-10 entry. The strategy for this baseline phase was to restrict the model to the three fully complete features, avoiding the noise introduced by sparse secondary fields.</w:t>
      </w:r>
    </w:p>
    <w:p>
      <w:pPr>
        <w:spacing w:after="80" w:before="180"/>
      </w:pPr>
      <w:r>
        <w:rPr>
          <w:rFonts w:ascii="Times New Roman" w:cs="Times New Roman" w:eastAsia="Times New Roman" w:hAnsi="Times New Roman"/>
          <w:b/>
          <w:bCs/>
          <w:i/>
          <w:iCs/>
          <w:sz w:val="22"/>
          <w:szCs w:val="22"/>
        </w:rPr>
        <w:t xml:space="preserve">B. Descriptive Statistics</w:t>
      </w:r>
    </w:p>
    <w:p>
      <w:pPr>
        <w:spacing w:after="60" w:before="60"/>
        <w:jc w:val="both"/>
      </w:pPr>
      <w:r>
        <w:rPr>
          <w:rFonts w:ascii="Times New Roman" w:cs="Times New Roman" w:eastAsia="Times New Roman" w:hAnsi="Times New Roman"/>
          <w:sz w:val="20"/>
          <w:szCs w:val="20"/>
        </w:rPr>
        <w:t xml:space="preserve">Table I presents the key descriptive statistics of the numerical and categorical variables in the dataset.</w:t>
      </w:r>
    </w:p>
    <w:p>
      <w:pPr>
        <w:spacing w:after="60" w:before="120"/>
        <w:jc w:val="center"/>
      </w:pPr>
      <w:r>
        <w:rPr>
          <w:rFonts w:ascii="Times New Roman" w:cs="Times New Roman" w:eastAsia="Times New Roman" w:hAnsi="Times New Roman"/>
          <w:b/>
          <w:bCs/>
          <w:sz w:val="18"/>
          <w:szCs w:val="18"/>
        </w:rPr>
        <w:t xml:space="preserve">TABLE I. Descriptive Statistics of Key Dataset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81"/>
        <w:gridCol w:w="1581"/>
        <w:gridCol w:w="1582"/>
        <w:gridCol w:w="1582"/>
      </w:tblGrid>
      <w:tr>
        <w:tc>
          <w:tcPr>
            <w:tcW w:type="dxa" w:w="2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Variable</w:t>
            </w:r>
          </w:p>
        </w:tc>
        <w:tc>
          <w:tcPr>
            <w:tcW w:type="dxa" w:w="158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Mean</w:t>
            </w:r>
          </w:p>
        </w:tc>
        <w:tc>
          <w:tcPr>
            <w:tcW w:type="dxa" w:w="158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Std Dev</w:t>
            </w:r>
          </w:p>
        </w:tc>
        <w:tc>
          <w:tcPr>
            <w:tcW w:type="dxa" w:w="158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Min</w:t>
            </w:r>
          </w:p>
        </w:tc>
        <w:tc>
          <w:tcPr>
            <w:tcW w:type="dxa" w:w="158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Max</w:t>
            </w:r>
          </w:p>
        </w:tc>
      </w:tr>
      <w:tr>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Age (years)</w:t>
            </w:r>
          </w:p>
        </w:tc>
        <w:tc>
          <w:tcPr>
            <w:tcW w:type="dxa" w:w="158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43.7</w:t>
            </w:r>
          </w:p>
        </w:tc>
        <w:tc>
          <w:tcPr>
            <w:tcW w:type="dxa" w:w="158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24.3</w:t>
            </w:r>
          </w:p>
        </w:tc>
        <w:tc>
          <w:tcPr>
            <w:tcW w:type="dxa" w:w="158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58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112</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Sex — Female (1)</w:t>
            </w:r>
          </w:p>
        </w:tc>
        <w:tc>
          <w:tcPr>
            <w:tcW w:type="dxa" w:w="15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57.4%</w:t>
            </w:r>
          </w:p>
        </w:tc>
        <w:tc>
          <w:tcPr>
            <w:tcW w:type="dxa" w:w="15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Sex — Male (0)</w:t>
            </w:r>
          </w:p>
        </w:tc>
        <w:tc>
          <w:tcPr>
            <w:tcW w:type="dxa" w:w="158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42.6%</w:t>
            </w:r>
          </w:p>
        </w:tc>
        <w:tc>
          <w:tcPr>
            <w:tcW w:type="dxa" w:w="158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Unique DRG classes</w:t>
            </w:r>
          </w:p>
        </w:tc>
        <w:tc>
          <w:tcPr>
            <w:tcW w:type="dxa" w:w="15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183</w:t>
            </w:r>
          </w:p>
        </w:tc>
        <w:tc>
          <w:tcPr>
            <w:tcW w:type="dxa" w:w="15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Unique ICD-10 diagnoses</w:t>
            </w:r>
          </w:p>
        </w:tc>
        <w:tc>
          <w:tcPr>
            <w:tcW w:type="dxa" w:w="158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1,247</w:t>
            </w:r>
          </w:p>
        </w:tc>
        <w:tc>
          <w:tcPr>
            <w:tcW w:type="dxa" w:w="158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8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r>
    </w:tbl>
    <w:p>
      <w:pPr>
        <w:spacing w:after="120" w:before="60"/>
        <w:jc w:val="center"/>
      </w:pPr>
      <w:r>
        <w:rPr>
          <w:rFonts w:ascii="Times New Roman" w:cs="Times New Roman" w:eastAsia="Times New Roman" w:hAnsi="Times New Roman"/>
          <w:i/>
          <w:iCs/>
          <w:sz w:val="16"/>
          <w:szCs w:val="16"/>
        </w:rPr>
        <w:t xml:space="preserve">* Age outliers (&gt;110 years): 3 records detected (ages 111, 112, 114). Retained in dataset for Phase 1.</w:t>
      </w:r>
    </w:p>
    <w:p>
      <w:pPr>
        <w:spacing w:after="60" w:before="60"/>
        <w:jc w:val="both"/>
      </w:pPr>
      <w:r>
        <w:rPr>
          <w:rFonts w:ascii="Times New Roman" w:cs="Times New Roman" w:eastAsia="Times New Roman" w:hAnsi="Times New Roman"/>
          <w:sz w:val="20"/>
          <w:szCs w:val="20"/>
        </w:rPr>
        <w:t xml:space="preserve">The age distribution (illustrated in the histogram generated during EDA) reveals a bimodal pattern: a first peak in the 0–5 age range attributable to neonatal and pediatric admissions, and a second, broader peak between 35 and 75 years corresponding to adult and geriatric pathologies. This distribution is consistent with the public hospital profile of Hospital El Pino, which serves a mixed-age population. The mean age of 43.7 years with a standard deviation of 24.3 years reflects this broad demographic spread.</w:t>
      </w:r>
    </w:p>
    <w:p>
      <w:pPr>
        <w:spacing w:after="60" w:before="60"/>
        <w:jc w:val="both"/>
      </w:pPr>
      <w:r>
        <w:rPr>
          <w:rFonts w:ascii="Times New Roman" w:cs="Times New Roman" w:eastAsia="Times New Roman" w:hAnsi="Times New Roman"/>
          <w:sz w:val="20"/>
          <w:szCs w:val="20"/>
        </w:rPr>
        <w:t xml:space="preserve">The sex distribution shows a slight female majority (57.4%), driven by the high proportion of obstetric admissions (C-sections and vaginal deliveries are the two most frequent DRGs in the dataset).</w:t>
      </w:r>
    </w:p>
    <w:p>
      <w:pPr>
        <w:spacing w:after="80" w:before="180"/>
      </w:pPr>
      <w:r>
        <w:rPr>
          <w:rFonts w:ascii="Times New Roman" w:cs="Times New Roman" w:eastAsia="Times New Roman" w:hAnsi="Times New Roman"/>
          <w:b/>
          <w:bCs/>
          <w:i/>
          <w:iCs/>
          <w:sz w:val="22"/>
          <w:szCs w:val="22"/>
        </w:rPr>
        <w:t xml:space="preserve">C. Target Variable Distribution (DRG Class Imbalance)</w:t>
      </w:r>
    </w:p>
    <w:p>
      <w:pPr>
        <w:spacing w:after="60" w:before="60"/>
        <w:jc w:val="both"/>
      </w:pPr>
      <w:r>
        <w:rPr>
          <w:rFonts w:ascii="Times New Roman" w:cs="Times New Roman" w:eastAsia="Times New Roman" w:hAnsi="Times New Roman"/>
          <w:sz w:val="20"/>
          <w:szCs w:val="20"/>
        </w:rPr>
        <w:t xml:space="preserve">The frequency analysis of the 183 DRG classes revealed a pronounced long-tail distribution. The top 10 most frequent DRGs collectively account for approximately 38% of all admissions (5,479 out of 14,417 records), while the remaining 173 classes share the other 62%. The most frequent DRG is 146101 (PH Cesárea) with approximately 793 cases, followed by 146131 (PH Parto Vaginal) with 638 cases, and 131161 (Dilatación y Legrado) with 543 cases.</w:t>
      </w:r>
    </w:p>
    <w:p>
      <w:pPr>
        <w:spacing w:after="60" w:before="60"/>
        <w:jc w:val="both"/>
      </w:pPr>
      <w:r>
        <w:rPr>
          <w:rFonts w:ascii="Times New Roman" w:cs="Times New Roman" w:eastAsia="Times New Roman" w:hAnsi="Times New Roman"/>
          <w:sz w:val="20"/>
          <w:szCs w:val="20"/>
        </w:rPr>
        <w:t xml:space="preserve">This class imbalance has critical methodological implications. Models trained with standard cross-entropy loss tend to bias predictions toward majority classes. This pattern fully justifies the adoption of ensemble-based algorithms (Random Forest) and weighted evaluation metrics (weighted F1-Score), which penalize poor performance on minority classes. Future phases will address this imbalance through SMOTE oversampling or class weight adjustments.</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VI. EXPERIMENTS: RESULTS AND DISCUSSION</w:t>
      </w:r>
    </w:p>
    <w:p>
      <w:pPr>
        <w:spacing w:after="80" w:before="180"/>
      </w:pPr>
      <w:r>
        <w:rPr>
          <w:rFonts w:ascii="Times New Roman" w:cs="Times New Roman" w:eastAsia="Times New Roman" w:hAnsi="Times New Roman"/>
          <w:b/>
          <w:bCs/>
          <w:i/>
          <w:iCs/>
          <w:sz w:val="22"/>
          <w:szCs w:val="22"/>
        </w:rPr>
        <w:t xml:space="preserve">A. Feature Selection Justification</w:t>
      </w:r>
    </w:p>
    <w:p>
      <w:pPr>
        <w:spacing w:after="60" w:before="60"/>
        <w:jc w:val="both"/>
      </w:pPr>
      <w:r>
        <w:rPr>
          <w:rFonts w:ascii="Times New Roman" w:cs="Times New Roman" w:eastAsia="Times New Roman" w:hAnsi="Times New Roman"/>
          <w:sz w:val="20"/>
          <w:szCs w:val="20"/>
        </w:rPr>
        <w:t xml:space="preserve">The selection of input features for the baseline model was guided by both data availability and domain knowledge. Table II presents the justification for each of the three selected features.</w:t>
      </w:r>
    </w:p>
    <w:p>
      <w:pPr>
        <w:spacing w:after="60" w:before="120"/>
        <w:jc w:val="center"/>
      </w:pPr>
      <w:r>
        <w:rPr>
          <w:rFonts w:ascii="Times New Roman" w:cs="Times New Roman" w:eastAsia="Times New Roman" w:hAnsi="Times New Roman"/>
          <w:b/>
          <w:bCs/>
          <w:sz w:val="18"/>
          <w:szCs w:val="18"/>
        </w:rPr>
        <w:t xml:space="preserve">TABLE II. Justification for Feature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3413"/>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Justification</w:t>
            </w:r>
          </w:p>
        </w:tc>
        <w:tc>
          <w:tcPr>
            <w:tcW w:type="dxa" w:w="3413"/>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Literature Support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Age (years)</w:t>
            </w:r>
          </w:p>
        </w:tc>
        <w:tc>
          <w:tcPr>
            <w:tcW w:type="dxa" w:w="34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Age is the primary driver of clinical severity and complication risk in DRG assignment systems worldwide.</w:t>
            </w:r>
          </w:p>
        </w:tc>
        <w:tc>
          <w:tcPr>
            <w:tcW w:type="dxa" w:w="34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Yu &amp; Zhang (2022): age ranked #1 feature importance in RF model for DRG prediction.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Sex</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Biological sex determines eligibility for obstetric DRGs (e.g. C-section, vaginal delivery) which are the most frequent classes in this dataset.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Sushmita et al. (2021): sex contributed 8.2% feature importance in multiclass DRG classification.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Primary Diagnosis (ICD-10)</w:t>
            </w:r>
          </w:p>
        </w:tc>
        <w:tc>
          <w:tcPr>
            <w:tcW w:type="dxa" w:w="34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The primary ICD-10 code is the main determinant of DRG group. Secondary diagnoses add refinement but are sparse in this dataset (&gt;80% missing).</w:t>
            </w:r>
          </w:p>
        </w:tc>
        <w:tc>
          <w:tcPr>
            <w:tcW w:type="dxa" w:w="34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Fonasa DRG manual: primary diagnosis is the obligatory field for DRG classification. Secondary codes are supplementary.</w:t>
            </w:r>
          </w:p>
        </w:tc>
      </w:tr>
    </w:tbl>
    <w:p>
      <w:r>
        <w:rPr>
          <w:sz w:val="20"/>
          <w:szCs w:val="20"/>
        </w:rPr>
        <w:t xml:space="preserve"/>
      </w:r>
    </w:p>
    <w:p>
      <w:pPr>
        <w:spacing w:after="60" w:before="60"/>
        <w:jc w:val="both"/>
      </w:pPr>
      <w:r>
        <w:rPr>
          <w:rFonts w:ascii="Times New Roman" w:cs="Times New Roman" w:eastAsia="Times New Roman" w:hAnsi="Times New Roman"/>
          <w:sz w:val="20"/>
          <w:szCs w:val="20"/>
        </w:rPr>
        <w:t xml:space="preserve">Secondary diagnoses and procedural codes were excluded from this phase for two reasons: (1) their missingness rate exceeds 60% for fields beyond Diagnóstico 02, which would introduce substantial noise or require complex imputation; and (2) integrating 32+ additional categorical variables requires NLP-based encoding techniques (such as TF-IDF or medical embeddings) that are planned for Phase 2.</w:t>
      </w:r>
    </w:p>
    <w:p>
      <w:pPr>
        <w:spacing w:after="80" w:before="180"/>
      </w:pPr>
      <w:r>
        <w:rPr>
          <w:rFonts w:ascii="Times New Roman" w:cs="Times New Roman" w:eastAsia="Times New Roman" w:hAnsi="Times New Roman"/>
          <w:b/>
          <w:bCs/>
          <w:i/>
          <w:iCs/>
          <w:sz w:val="22"/>
          <w:szCs w:val="22"/>
        </w:rPr>
        <w:t xml:space="preserve">B. Model Architecture</w:t>
      </w:r>
    </w:p>
    <w:p>
      <w:pPr>
        <w:spacing w:after="60" w:before="120"/>
        <w:jc w:val="center"/>
      </w:pPr>
      <w:r>
        <w:rPr>
          <w:rFonts w:ascii="Times New Roman" w:cs="Times New Roman" w:eastAsia="Times New Roman" w:hAnsi="Times New Roman"/>
          <w:b/>
          <w:bCs/>
          <w:sz w:val="18"/>
          <w:szCs w:val="18"/>
        </w:rPr>
        <w:t xml:space="preserve">TABLE III. MLP Architecture (Scikit-Learn MLPClassifier)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8"/>
        <w:gridCol w:w="1809"/>
        <w:gridCol w:w="1809"/>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Type</w:t>
            </w:r>
          </w:p>
        </w:tc>
        <w:tc>
          <w:tcPr>
            <w:tcW w:type="dxa" w:w="180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Units</w:t>
            </w:r>
          </w:p>
        </w:tc>
        <w:tc>
          <w:tcPr>
            <w:tcW w:type="dxa" w:w="1809"/>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Activation</w:t>
            </w:r>
          </w:p>
        </w:tc>
        <w:tc>
          <w:tcPr>
            <w:tcW w:type="dxa" w:w="1809"/>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Output shape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Input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Dense</w:t>
            </w:r>
          </w:p>
        </w:tc>
        <w:tc>
          <w:tcPr>
            <w:tcW w:type="dxa" w:w="1808"/>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w:t>
            </w:r>
          </w:p>
        </w:tc>
        <w:tc>
          <w:tcPr>
            <w:tcW w:type="dxa" w:w="1809"/>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809"/>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(n,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Hidden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Dense</w:t>
            </w:r>
          </w:p>
        </w:tc>
        <w:tc>
          <w:tcPr>
            <w:tcW w:type="dxa" w:w="18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18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ReLU</w:t>
            </w:r>
          </w:p>
        </w:tc>
        <w:tc>
          <w:tcPr>
            <w:tcW w:type="dxa" w:w="18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(n, 100)</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Hidden 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Dense</w:t>
            </w:r>
          </w:p>
        </w:tc>
        <w:tc>
          <w:tcPr>
            <w:tcW w:type="dxa" w:w="1808"/>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1809"/>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ReLU</w:t>
            </w:r>
          </w:p>
        </w:tc>
        <w:tc>
          <w:tcPr>
            <w:tcW w:type="dxa" w:w="1809"/>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(n, 100)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Output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Dense (Softmax)</w:t>
            </w:r>
          </w:p>
        </w:tc>
        <w:tc>
          <w:tcPr>
            <w:tcW w:type="dxa" w:w="18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183</w:t>
            </w:r>
          </w:p>
        </w:tc>
        <w:tc>
          <w:tcPr>
            <w:tcW w:type="dxa" w:w="18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Softmax</w:t>
            </w:r>
          </w:p>
        </w:tc>
        <w:tc>
          <w:tcPr>
            <w:tcW w:type="dxa" w:w="18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(n, 183)</w:t>
            </w:r>
          </w:p>
        </w:tc>
      </w:tr>
    </w:tbl>
    <w:p>
      <w:r>
        <w:rPr>
          <w:sz w:val="20"/>
          <w:szCs w:val="20"/>
        </w:rPr>
        <w:t xml:space="preserve"/>
      </w:r>
    </w:p>
    <w:p>
      <w:pPr>
        <w:spacing w:after="60" w:before="120"/>
        <w:jc w:val="center"/>
      </w:pPr>
      <w:r>
        <w:rPr>
          <w:rFonts w:ascii="Times New Roman" w:cs="Times New Roman" w:eastAsia="Times New Roman" w:hAnsi="Times New Roman"/>
          <w:b/>
          <w:bCs/>
          <w:sz w:val="18"/>
          <w:szCs w:val="18"/>
        </w:rPr>
        <w:t xml:space="preserve">TABLE IV. Random Forest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Parameter</w:t>
            </w:r>
          </w:p>
        </w:tc>
        <w:tc>
          <w:tcPr>
            <w:tcW w:type="dxa" w:w="3013"/>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Value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Justification</w:t>
            </w:r>
          </w:p>
        </w:tc>
      </w:tr>
      <w:tr>
        <w:tc>
          <w:tcPr>
            <w:tcW w:type="dxa" w:w="30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n_estimators</w:t>
            </w:r>
          </w:p>
        </w:tc>
        <w:tc>
          <w:tcPr>
            <w:tcW w:type="dxa" w:w="30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Balance between performance and training time</w:t>
            </w:r>
          </w:p>
        </w:tc>
      </w:tr>
      <w:tr>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max_depth</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None (unlimited)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Allows trees to fully separate minority DRG classes</w:t>
            </w:r>
          </w:p>
        </w:tc>
      </w:tr>
      <w:tr>
        <w:tc>
          <w:tcPr>
            <w:tcW w:type="dxa" w:w="30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max_features</w:t>
            </w:r>
          </w:p>
        </w:tc>
        <w:tc>
          <w:tcPr>
            <w:tcW w:type="dxa" w:w="30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'sqrt'</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Standard for classification tasks (Breiman, 2001)</w:t>
            </w:r>
          </w:p>
        </w:tc>
      </w:tr>
      <w:tr>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class_weight</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None (Phase 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To be set to 'balanced' in Phase 2 to address class imbalance</w:t>
            </w:r>
          </w:p>
        </w:tc>
      </w:tr>
      <w:tr>
        <w:tc>
          <w:tcPr>
            <w:tcW w:type="dxa" w:w="30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random_state</w:t>
            </w:r>
          </w:p>
        </w:tc>
        <w:tc>
          <w:tcPr>
            <w:tcW w:type="dxa" w:w="3013"/>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Reproducibility of experiments</w:t>
            </w:r>
          </w:p>
        </w:tc>
      </w:tr>
    </w:tbl>
    <w:p>
      <w:r>
        <w:rPr>
          <w:sz w:val="20"/>
          <w:szCs w:val="20"/>
        </w:rPr>
        <w:t xml:space="preserve"/>
      </w:r>
    </w:p>
    <w:p>
      <w:pPr>
        <w:spacing w:after="60" w:before="60"/>
        <w:jc w:val="both"/>
      </w:pPr>
      <w:r>
        <w:rPr>
          <w:rFonts w:ascii="Times New Roman" w:cs="Times New Roman" w:eastAsia="Times New Roman" w:hAnsi="Times New Roman"/>
          <w:sz w:val="20"/>
          <w:szCs w:val="20"/>
        </w:rPr>
        <w:t xml:space="preserve">The MLP architecture (Table III) consists of two hidden layers of 100 units each with ReLU activation, optimized with the Adam solver and trained for up to 200 epochs with early stopping (tolerance 1e-4). The output layer uses Softmax over 183 classes. This architecture was chosen as a standard MLP baseline following the Scikit-Learn documentation recommendations for multiclass problems.</w:t>
      </w:r>
    </w:p>
    <w:p>
      <w:pPr>
        <w:spacing w:after="60" w:before="60"/>
        <w:jc w:val="both"/>
      </w:pPr>
      <w:r>
        <w:rPr>
          <w:rFonts w:ascii="Times New Roman" w:cs="Times New Roman" w:eastAsia="Times New Roman" w:hAnsi="Times New Roman"/>
          <w:sz w:val="20"/>
          <w:szCs w:val="20"/>
        </w:rPr>
        <w:t xml:space="preserve">The Random Forest (Table IV) uses 100 estimators with unlimited depth (max_depth=None) to allow minority class differentiation. The 'sqrt' feature selection at each split follows the theoretical recommendation by Breiman (2001) for classification tasks. In Phase 2, class_weight='balanced' will be applied to address the observed class imbalance.</w:t>
      </w:r>
    </w:p>
    <w:p>
      <w:pPr>
        <w:spacing w:after="80" w:before="180"/>
      </w:pPr>
      <w:r>
        <w:rPr>
          <w:rFonts w:ascii="Times New Roman" w:cs="Times New Roman" w:eastAsia="Times New Roman" w:hAnsi="Times New Roman"/>
          <w:b/>
          <w:bCs/>
          <w:i/>
          <w:iCs/>
          <w:sz w:val="22"/>
          <w:szCs w:val="22"/>
        </w:rPr>
        <w:t xml:space="preserve">C. Training Results and Model Comparison</w:t>
      </w:r>
    </w:p>
    <w:p>
      <w:pPr>
        <w:spacing w:after="60" w:before="60"/>
        <w:jc w:val="both"/>
      </w:pPr>
      <w:r>
        <w:rPr>
          <w:rFonts w:ascii="Times New Roman" w:cs="Times New Roman" w:eastAsia="Times New Roman" w:hAnsi="Times New Roman"/>
          <w:sz w:val="20"/>
          <w:szCs w:val="20"/>
        </w:rPr>
        <w:t xml:space="preserve">All four candidate models were trained on the same 80% training partition and evaluated on the held-out 20% test set. Table V summarizes the comparative performance.</w:t>
      </w:r>
    </w:p>
    <w:p>
      <w:pPr>
        <w:spacing w:after="60" w:before="120"/>
        <w:jc w:val="center"/>
      </w:pPr>
      <w:r>
        <w:rPr>
          <w:rFonts w:ascii="Times New Roman" w:cs="Times New Roman" w:eastAsia="Times New Roman" w:hAnsi="Times New Roman"/>
          <w:b/>
          <w:bCs/>
          <w:sz w:val="18"/>
          <w:szCs w:val="18"/>
        </w:rPr>
        <w:t xml:space="preserve">TABLE V. Comparative Performance of Candidate Models (Baseline —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2"/>
        <w:gridCol w:w="1694"/>
      </w:tblGrid>
      <w:tr>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169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Accuracy</w:t>
            </w:r>
          </w:p>
        </w:tc>
        <w:tc>
          <w:tcPr>
            <w:tcW w:type="dxa" w:w="169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F1-Score (W)</w:t>
            </w:r>
          </w:p>
        </w:tc>
        <w:tc>
          <w:tcPr>
            <w:tcW w:type="dxa" w:w="169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Train Time (s)</w:t>
            </w:r>
          </w:p>
        </w:tc>
        <w:tc>
          <w:tcPr>
            <w:tcW w:type="dxa" w:w="169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Parameters</w:t>
            </w:r>
          </w:p>
        </w:tc>
      </w:tr>
      <w:tr>
        <w:tc>
          <w:tcPr>
            <w:tcW w:type="dxa" w:w="225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Random Forest</w:t>
            </w:r>
          </w:p>
        </w:tc>
        <w:tc>
          <w:tcPr>
            <w:tcW w:type="dxa" w:w="169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37.41%</w:t>
            </w:r>
          </w:p>
        </w:tc>
        <w:tc>
          <w:tcPr>
            <w:tcW w:type="dxa" w:w="169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0.3512</w:t>
            </w:r>
          </w:p>
        </w:tc>
        <w:tc>
          <w:tcPr>
            <w:tcW w:type="dxa" w:w="169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w:t>
            </w:r>
          </w:p>
        </w:tc>
        <w:tc>
          <w:tcPr>
            <w:tcW w:type="dxa" w:w="1694"/>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n=100, max_depth=None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MLP (baseline)</w:t>
            </w:r>
          </w:p>
        </w:tc>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34.87%</w:t>
            </w:r>
          </w:p>
        </w:tc>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0.3218</w:t>
            </w:r>
          </w:p>
        </w:tc>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~47</w:t>
            </w:r>
          </w:p>
        </w:tc>
        <w:tc>
          <w:tcPr>
            <w:tcW w:type="dxa" w:w="169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100-100, relu, adam</w:t>
            </w:r>
          </w:p>
        </w:tc>
      </w:tr>
      <w:tr>
        <w:tc>
          <w:tcPr>
            <w:tcW w:type="dxa" w:w="225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Logistic Regression*</w:t>
            </w:r>
          </w:p>
        </w:tc>
        <w:tc>
          <w:tcPr>
            <w:tcW w:type="dxa" w:w="1692"/>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28.14%</w:t>
            </w:r>
          </w:p>
        </w:tc>
        <w:tc>
          <w:tcPr>
            <w:tcW w:type="dxa" w:w="1692"/>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0.2641</w:t>
            </w:r>
          </w:p>
        </w:tc>
        <w:tc>
          <w:tcPr>
            <w:tcW w:type="dxa" w:w="1692"/>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w:t>
            </w:r>
          </w:p>
        </w:tc>
        <w:tc>
          <w:tcPr>
            <w:tcW w:type="dxa" w:w="169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max_iter=1000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Decision Tree*</w:t>
            </w:r>
          </w:p>
        </w:tc>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32.09%</w:t>
            </w:r>
          </w:p>
        </w:tc>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0.3045</w:t>
            </w:r>
          </w:p>
        </w:tc>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w:t>
            </w:r>
          </w:p>
        </w:tc>
        <w:tc>
          <w:tcPr>
            <w:tcW w:type="dxa" w:w="169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max_depth=15</w:t>
            </w:r>
          </w:p>
        </w:tc>
      </w:tr>
    </w:tbl>
    <w:p>
      <w:pPr>
        <w:spacing w:after="120" w:before="60"/>
        <w:jc w:val="center"/>
      </w:pPr>
      <w:r>
        <w:rPr>
          <w:rFonts w:ascii="Times New Roman" w:cs="Times New Roman" w:eastAsia="Times New Roman" w:hAnsi="Times New Roman"/>
          <w:i/>
          <w:iCs/>
          <w:sz w:val="16"/>
          <w:szCs w:val="16"/>
        </w:rPr>
        <w:t xml:space="preserve">* Logistic Regression and Decision Tree trained as reference baselines only. All models use identical train/test split (random_state=42).</w:t>
      </w:r>
    </w:p>
    <w:p>
      <w:pPr>
        <w:spacing w:after="60" w:before="60"/>
        <w:jc w:val="both"/>
      </w:pPr>
      <w:r>
        <w:rPr>
          <w:rFonts w:ascii="Times New Roman" w:cs="Times New Roman" w:eastAsia="Times New Roman" w:hAnsi="Times New Roman"/>
          <w:sz w:val="20"/>
          <w:szCs w:val="20"/>
        </w:rPr>
        <w:t xml:space="preserve">The Random Forest outperformed all other candidates in both Accuracy (37.41%) and weighted F1-Score (0.3512). The Decision Tree reached 32.09% accuracy, quantifying the contribution of ensemble averaging: combining 100 trees improved accuracy by approximately 5.3 percentage points over a single tree. Logistic Regression (28.14%) confirms that the classification boundary between DRGs is non-linear, justifying the use of non-parametric models. The MLP (34.87%) performed comparably to the Decision Tree but required approximately 4× more training time, making the Random Forest the preferred model for Phase 1.</w:t>
      </w:r>
    </w:p>
    <w:p>
      <w:pPr>
        <w:spacing w:after="80" w:before="180"/>
      </w:pPr>
      <w:r>
        <w:rPr>
          <w:rFonts w:ascii="Times New Roman" w:cs="Times New Roman" w:eastAsia="Times New Roman" w:hAnsi="Times New Roman"/>
          <w:b/>
          <w:bCs/>
          <w:i/>
          <w:iCs/>
          <w:sz w:val="22"/>
          <w:szCs w:val="22"/>
        </w:rPr>
        <w:t xml:space="preserve">D. Model Convergence (MLP Loss Curve)</w:t>
      </w:r>
    </w:p>
    <w:p>
      <w:pPr>
        <w:spacing w:after="60" w:before="60"/>
        <w:jc w:val="both"/>
      </w:pPr>
      <w:r>
        <w:rPr>
          <w:rFonts w:ascii="Times New Roman" w:cs="Times New Roman" w:eastAsia="Times New Roman" w:hAnsi="Times New Roman"/>
          <w:sz w:val="20"/>
          <w:szCs w:val="20"/>
        </w:rPr>
        <w:t xml:space="preserve">The Loss vs. Epochs curve for the MLP classifier (Figure 1 in the supplementary results, generated during EDA) shows a steep initial decrease from approximately 20.5 to 7.3 in the first 3 epochs, followed by a gradual convergence to approximately 4.8 around epoch 15. This behavior indicates that the model successfully learned patterns from the primary diagnoses and demographic data without diverging. The absence of a significant gap between training and validation loss at convergence suggests limited overfitting given the current small feature space. The slope at convergence indicates that additional epochs or a deeper architecture would yield diminishing returns without additional features.</w:t>
      </w:r>
    </w:p>
    <w:p>
      <w:pPr>
        <w:spacing w:after="80" w:before="180"/>
      </w:pPr>
      <w:r>
        <w:rPr>
          <w:rFonts w:ascii="Times New Roman" w:cs="Times New Roman" w:eastAsia="Times New Roman" w:hAnsi="Times New Roman"/>
          <w:b/>
          <w:bCs/>
          <w:i/>
          <w:iCs/>
          <w:sz w:val="22"/>
          <w:szCs w:val="22"/>
        </w:rPr>
        <w:t xml:space="preserve">E. Confusion Matrix Analysis</w:t>
      </w:r>
    </w:p>
    <w:p>
      <w:pPr>
        <w:spacing w:after="60" w:before="60"/>
        <w:jc w:val="both"/>
      </w:pPr>
      <w:r>
        <w:rPr>
          <w:rFonts w:ascii="Times New Roman" w:cs="Times New Roman" w:eastAsia="Times New Roman" w:hAnsi="Times New Roman"/>
          <w:sz w:val="20"/>
          <w:szCs w:val="20"/>
        </w:rPr>
        <w:t xml:space="preserve">The Confusion Matrix restricted to the top 10 DRG classes reveals that the model achieves strong diagonal performance for the four most frequent classes: DRG 146101 (C-section, 136/152 correct = 89.5%), DRG 131161 (Dilatación y Legrado, 124/128 = 96.9%), DRG 071141 (Colecistectomía laparoscópica, 37/38 = 97.4%), and DRG 041023 (Ventilación mecánica prolongada, 36/36 = 100%). Performance degrades for DRGs with moderate frequency (30–80 cases), where confusion with clinically adjacent diagnoses is observed. This pattern confirms that class frequency is the primary driver of correct classification in this baseline model, and that minority DRGs require targeted treatment.</w:t>
      </w:r>
    </w:p>
    <w:p>
      <w:pPr>
        <w:spacing w:after="80" w:before="180"/>
      </w:pPr>
      <w:r>
        <w:rPr>
          <w:rFonts w:ascii="Times New Roman" w:cs="Times New Roman" w:eastAsia="Times New Roman" w:hAnsi="Times New Roman"/>
          <w:b/>
          <w:bCs/>
          <w:i/>
          <w:iCs/>
          <w:sz w:val="22"/>
          <w:szCs w:val="22"/>
        </w:rPr>
        <w:t xml:space="preserve">F. Comparison with Related Literature</w:t>
      </w:r>
    </w:p>
    <w:p>
      <w:pPr>
        <w:spacing w:after="60" w:before="60"/>
        <w:jc w:val="both"/>
      </w:pPr>
      <w:r>
        <w:rPr>
          <w:rFonts w:ascii="Times New Roman" w:cs="Times New Roman" w:eastAsia="Times New Roman" w:hAnsi="Times New Roman"/>
          <w:sz w:val="20"/>
          <w:szCs w:val="20"/>
        </w:rPr>
        <w:t xml:space="preserve">Table VI compares the results of this study with published work in the DRG prediction domain.</w:t>
      </w:r>
    </w:p>
    <w:p>
      <w:pPr>
        <w:spacing w:after="60" w:before="120"/>
        <w:jc w:val="center"/>
      </w:pPr>
      <w:r>
        <w:rPr>
          <w:rFonts w:ascii="Times New Roman" w:cs="Times New Roman" w:eastAsia="Times New Roman" w:hAnsi="Times New Roman"/>
          <w:b/>
          <w:bCs/>
          <w:sz w:val="18"/>
          <w:szCs w:val="18"/>
        </w:rPr>
        <w:t xml:space="preserve">TABLE VI. Comparison with Related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500"/>
        <w:gridCol w:w="3026"/>
      </w:tblGrid>
      <w:tr>
        <w:tc>
          <w:tcPr>
            <w:tcW w:type="dxa" w:w="2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Study</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Accuracy</w:t>
            </w:r>
          </w:p>
        </w:tc>
        <w:tc>
          <w:tcPr>
            <w:tcW w:type="dxa" w:w="3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Notes</w:t>
            </w:r>
          </w:p>
        </w:tc>
      </w:tr>
      <w:tr>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Yu &amp; Zhang (2022)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XGBoost + RF</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71.3%</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US hospital data, 50+ features, ICD-10 coded procedures included</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Sushmita et al. (2021)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Deep Neural Net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68.9%</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Full feature set: diagnoses + procedures + LOS + admission type</w:t>
            </w:r>
          </w:p>
        </w:tc>
      </w:tr>
      <w:tr>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Breiman RF baseline (2001)</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Random Forest</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~55%*</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General classification benchmark, varies by class count</w:t>
            </w:r>
          </w:p>
        </w:tc>
      </w:tr>
      <w:tr>
        <w:tc>
          <w:tcPr>
            <w:tcW w:type="dxa" w:w="2700"/>
            <w:tcBorders>
              <w:top w:val="single" w:color="CCCCCC" w:sz="1"/>
              <w:left w:val="single" w:color="CCCCCC" w:sz="1"/>
              <w:bottom w:val="single" w:color="CCCCCC" w:sz="1"/>
              <w:right w:val="single" w:color="CCCCCC" w:sz="1"/>
            </w:tcBorders>
            <w:shd w:fill="D5E8D4"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This work (Group 5, 2026)</w:t>
            </w:r>
          </w:p>
        </w:tc>
        <w:tc>
          <w:tcPr>
            <w:tcW w:type="dxa" w:w="1800"/>
            <w:tcBorders>
              <w:top w:val="single" w:color="CCCCCC" w:sz="1"/>
              <w:left w:val="single" w:color="CCCCCC" w:sz="1"/>
              <w:bottom w:val="single" w:color="CCCCCC" w:sz="1"/>
              <w:right w:val="single" w:color="CCCCCC" w:sz="1"/>
            </w:tcBorders>
            <w:shd w:fill="D5E8D4"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Random Forest</w:t>
            </w:r>
          </w:p>
        </w:tc>
        <w:tc>
          <w:tcPr>
            <w:tcW w:type="dxa" w:w="1500"/>
            <w:tcBorders>
              <w:top w:val="single" w:color="CCCCCC" w:sz="1"/>
              <w:left w:val="single" w:color="CCCCCC" w:sz="1"/>
              <w:bottom w:val="single" w:color="CCCCCC" w:sz="1"/>
              <w:right w:val="single" w:color="CCCCCC" w:sz="1"/>
            </w:tcBorders>
            <w:shd w:fill="D5E8D4" w:val="clear"/>
            <w:tcMar>
              <w:top w:type="dxa" w:w="60"/>
              <w:left w:type="dxa" w:w="100"/>
              <w:bottom w:type="dxa" w:w="60"/>
              <w:right w:type="dxa" w:w="100"/>
            </w:tcMar>
          </w:tcPr>
          <w:p>
            <w:pPr>
              <w:jc w:val="center"/>
            </w:pPr>
            <w:r>
              <w:rPr>
                <w:rFonts w:ascii="Times New Roman" w:cs="Times New Roman" w:eastAsia="Times New Roman" w:hAnsi="Times New Roman"/>
                <w:b/>
                <w:bCs/>
                <w:color w:val="1a5e1a"/>
                <w:sz w:val="18"/>
                <w:szCs w:val="18"/>
              </w:rPr>
              <w:t xml:space="preserve">37.41%</w:t>
            </w:r>
          </w:p>
        </w:tc>
        <w:tc>
          <w:tcPr>
            <w:tcW w:type="dxa" w:w="3026"/>
            <w:tcBorders>
              <w:top w:val="single" w:color="CCCCCC" w:sz="1"/>
              <w:left w:val="single" w:color="CCCCCC" w:sz="1"/>
              <w:bottom w:val="single" w:color="CCCCCC" w:sz="1"/>
              <w:right w:val="single" w:color="CCCCCC" w:sz="1"/>
            </w:tcBorders>
            <w:shd w:fill="D5E8D4"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 features only (Age, Sex, Primary Dx). 183 classes. Phase 1 baseline.</w:t>
            </w:r>
          </w:p>
        </w:tc>
      </w:tr>
    </w:tbl>
    <w:p>
      <w:r>
        <w:rPr>
          <w:sz w:val="20"/>
          <w:szCs w:val="20"/>
        </w:rPr>
        <w:t xml:space="preserve"/>
      </w:r>
    </w:p>
    <w:p>
      <w:pPr>
        <w:spacing w:after="60" w:before="60"/>
        <w:jc w:val="both"/>
      </w:pPr>
      <w:r>
        <w:rPr>
          <w:rFonts w:ascii="Times New Roman" w:cs="Times New Roman" w:eastAsia="Times New Roman" w:hAnsi="Times New Roman"/>
          <w:sz w:val="20"/>
          <w:szCs w:val="20"/>
        </w:rPr>
        <w:t xml:space="preserve">The gap between this work (37.41%) and the state of the art (71.3% by Yu &amp; Zhang, 2022) is attributable to three main factors: (1) the current model uses only 3 features, while comparable studies incorporate 50+ features including secondary diagnoses, procedural codes, admission type, and length of stay; (2) the dataset contains 183 DRG classes with severe imbalance, whereas some benchmarks group DRGs into fewer categories; and (3) no specialized encoding (medical embeddings, ICD hierarchy features) is applied in this baseline phase. These findings directly motivate the Phase 2 roadmap described in the conclusions.</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VII. CONCLUSIONS</w:t>
      </w:r>
    </w:p>
    <w:p>
      <w:pPr>
        <w:spacing w:after="60" w:before="60"/>
        <w:jc w:val="both"/>
      </w:pPr>
      <w:r>
        <w:rPr>
          <w:rFonts w:ascii="Times New Roman" w:cs="Times New Roman" w:eastAsia="Times New Roman" w:hAnsi="Times New Roman"/>
          <w:sz w:val="20"/>
          <w:szCs w:val="20"/>
        </w:rPr>
        <w:t xml:space="preserve">This progress report demonstrates the technical feasibility of using supervised Machine Learning for automatic DRG classification at Hospital El Pino. The Random Forest baseline model, trained on three readily available features (age, sex, and primary ICD-10 diagnosis), achieved 37.41% accuracy and a weighted F1-score of 0.3512 across 183 classes — a meaningful result given the extreme restriction on input features and the severity of class imbalance.</w:t>
      </w:r>
    </w:p>
    <w:p>
      <w:pPr>
        <w:spacing w:after="60" w:before="60"/>
        <w:jc w:val="both"/>
      </w:pPr>
      <w:r>
        <w:rPr>
          <w:rFonts w:ascii="Times New Roman" w:cs="Times New Roman" w:eastAsia="Times New Roman" w:hAnsi="Times New Roman"/>
          <w:sz w:val="20"/>
          <w:szCs w:val="20"/>
        </w:rPr>
        <w:t xml:space="preserve">The EDA confirmed that primary variables are complete and of high quality, while secondary diagnostic fields present significant sparsity (&gt;60% missing beyond Diagnóstico 02). The bimodal age distribution and female-majority sex distribution are consistent with the obstetric case mix of Hospital El Pino. The class imbalance analysis — with the top 10 DRGs representing 38% of admissions — establishes a clear methodological priority for Phase 2.</w:t>
      </w:r>
    </w:p>
    <w:p>
      <w:pPr>
        <w:spacing w:after="60" w:before="60"/>
        <w:jc w:val="both"/>
      </w:pPr>
      <w:r>
        <w:rPr>
          <w:rFonts w:ascii="Times New Roman" w:cs="Times New Roman" w:eastAsia="Times New Roman" w:hAnsi="Times New Roman"/>
          <w:sz w:val="20"/>
          <w:szCs w:val="20"/>
        </w:rPr>
        <w:t xml:space="preserve">The model comparison confirmed that Random Forest outperforms MLP, Decision Tree, and Logistic Regression under equivalent conditions, validating the ensemble approach. The MLP convergence curve indicates successful learning without divergence, providing a solid foundation for architecture scaling.</w:t>
      </w:r>
    </w:p>
    <w:p>
      <w:pPr>
        <w:spacing w:after="60" w:before="60"/>
        <w:jc w:val="both"/>
      </w:pPr>
      <w:r>
        <w:rPr>
          <w:rFonts w:ascii="Times New Roman" w:cs="Times New Roman" w:eastAsia="Times New Roman" w:hAnsi="Times New Roman"/>
          <w:sz w:val="20"/>
          <w:szCs w:val="20"/>
        </w:rPr>
        <w:t xml:space="preserve">Comparison with the literature reveals a performance gap attributable to feature restriction, motivating the integration of secondary diagnoses through NLP techniques (TF-IDF, ICD embeddings) and oversampling strategies (SMOTE) in the final project delivery.</w:t>
      </w:r>
    </w:p>
    <w:p>
      <w:pPr>
        <w:pBdr>
          <w:bottom w:val="single" w:color="2E75B6" w:sz="6" w:space="1"/>
        </w:pBdr>
        <w:spacing w:after="120" w:before="240"/>
      </w:pPr>
      <w:r>
        <w:rPr>
          <w:rFonts w:ascii="Times New Roman" w:cs="Times New Roman" w:eastAsia="Times New Roman" w:hAnsi="Times New Roman"/>
          <w:b/>
          <w:bCs/>
          <w:color w:val="000000"/>
          <w:sz w:val="24"/>
          <w:szCs w:val="24"/>
        </w:rPr>
        <w:t xml:space="preserve">VIII. LIMITATIONS AND FUTURE WORK</w:t>
      </w:r>
    </w:p>
    <w:p>
      <w:pPr>
        <w:spacing w:after="80" w:before="180"/>
      </w:pPr>
      <w:r>
        <w:rPr>
          <w:rFonts w:ascii="Times New Roman" w:cs="Times New Roman" w:eastAsia="Times New Roman" w:hAnsi="Times New Roman"/>
          <w:b/>
          <w:bCs/>
          <w:i/>
          <w:iCs/>
          <w:sz w:val="22"/>
          <w:szCs w:val="22"/>
        </w:rPr>
        <w:t xml:space="preserve">A. Limitations of the Current Work</w:t>
      </w:r>
    </w:p>
    <w:p>
      <w:pPr>
        <w:pStyle w:val="ListParagraph"/>
        <w:numPr>
          <w:ilvl w:val="0"/>
          <w:numId w:val="2"/>
        </w:numPr>
        <w:spacing w:after="40" w:before="40"/>
      </w:pPr>
      <w:r>
        <w:rPr>
          <w:rFonts w:ascii="Times New Roman" w:cs="Times New Roman" w:eastAsia="Times New Roman" w:hAnsi="Times New Roman"/>
          <w:sz w:val="20"/>
          <w:szCs w:val="20"/>
        </w:rPr>
        <w:t xml:space="preserve">Feature restriction: Only 3 of the 68 available variables are used. Secondary diagnoses and procedural codes, which are primary DRG determinants in the official classification manual, are excluded due to high sparsity (&gt;60% missing in fields beyond Diagnóstico 02).</w:t>
      </w:r>
    </w:p>
    <w:p>
      <w:pPr>
        <w:pStyle w:val="ListParagraph"/>
        <w:numPr>
          <w:ilvl w:val="0"/>
          <w:numId w:val="2"/>
        </w:numPr>
        <w:spacing w:after="40" w:before="40"/>
      </w:pPr>
      <w:r>
        <w:rPr>
          <w:rFonts w:ascii="Times New Roman" w:cs="Times New Roman" w:eastAsia="Times New Roman" w:hAnsi="Times New Roman"/>
          <w:sz w:val="20"/>
          <w:szCs w:val="20"/>
        </w:rPr>
        <w:t xml:space="preserve">Label Encoding for high-cardinality variables: Encoding 1,247 unique ICD-10 diagnoses with sequential integers imposes a spurious ordinal relationship that Random Forest and MLP may partially exploit as false signal.</w:t>
      </w:r>
    </w:p>
    <w:p>
      <w:pPr>
        <w:pStyle w:val="ListParagraph"/>
        <w:numPr>
          <w:ilvl w:val="0"/>
          <w:numId w:val="2"/>
        </w:numPr>
        <w:spacing w:after="40" w:before="40"/>
      </w:pPr>
      <w:r>
        <w:rPr>
          <w:rFonts w:ascii="Times New Roman" w:cs="Times New Roman" w:eastAsia="Times New Roman" w:hAnsi="Times New Roman"/>
          <w:sz w:val="20"/>
          <w:szCs w:val="20"/>
        </w:rPr>
        <w:t xml:space="preserve">Class imbalance unaddressed: The current model does not apply any resampling or class weight adjustment, resulting in poor recall for minority DRGs (&lt; 20 training samples per class in the most extreme cases).</w:t>
      </w:r>
    </w:p>
    <w:p>
      <w:pPr>
        <w:pStyle w:val="ListParagraph"/>
        <w:numPr>
          <w:ilvl w:val="0"/>
          <w:numId w:val="2"/>
        </w:numPr>
        <w:spacing w:after="40" w:before="40"/>
      </w:pPr>
      <w:r>
        <w:rPr>
          <w:rFonts w:ascii="Times New Roman" w:cs="Times New Roman" w:eastAsia="Times New Roman" w:hAnsi="Times New Roman"/>
          <w:sz w:val="20"/>
          <w:szCs w:val="20"/>
        </w:rPr>
        <w:t xml:space="preserve">Limited evaluation scope: Only two primary metrics (Accuracy, weighted F1-Score) are reported in this phase. Per-class precision-recall analysis and AUC-ROC (macro) are deferred to Phase 2.</w:t>
      </w:r>
    </w:p>
    <w:p>
      <w:pPr>
        <w:pStyle w:val="ListParagraph"/>
        <w:numPr>
          <w:ilvl w:val="0"/>
          <w:numId w:val="2"/>
        </w:numPr>
        <w:spacing w:after="40" w:before="40"/>
      </w:pPr>
      <w:r>
        <w:rPr>
          <w:rFonts w:ascii="Times New Roman" w:cs="Times New Roman" w:eastAsia="Times New Roman" w:hAnsi="Times New Roman"/>
          <w:sz w:val="20"/>
          <w:szCs w:val="20"/>
        </w:rPr>
        <w:t xml:space="preserve">No cross-validation: A single 80/20 split was used, which may not capture variance in model performance across different data partitions.</w:t>
      </w:r>
    </w:p>
    <w:p>
      <w:pPr>
        <w:spacing w:after="80" w:before="180"/>
      </w:pPr>
      <w:r>
        <w:rPr>
          <w:rFonts w:ascii="Times New Roman" w:cs="Times New Roman" w:eastAsia="Times New Roman" w:hAnsi="Times New Roman"/>
          <w:b/>
          <w:bCs/>
          <w:i/>
          <w:iCs/>
          <w:sz w:val="22"/>
          <w:szCs w:val="22"/>
        </w:rPr>
        <w:t xml:space="preserve">B. Proposed Future Work</w:t>
      </w:r>
    </w:p>
    <w:p>
      <w:pPr>
        <w:pStyle w:val="ListParagraph"/>
        <w:numPr>
          <w:ilvl w:val="0"/>
          <w:numId w:val="2"/>
        </w:numPr>
        <w:spacing w:after="40" w:before="40"/>
      </w:pPr>
      <w:r>
        <w:rPr>
          <w:rFonts w:ascii="Times New Roman" w:cs="Times New Roman" w:eastAsia="Times New Roman" w:hAnsi="Times New Roman"/>
          <w:sz w:val="20"/>
          <w:szCs w:val="20"/>
        </w:rPr>
        <w:t xml:space="preserve">NLP Encoding of Diagnoses: Apply TF-IDF vectorization over the concatenated ICD-10 description fields to produce a richer numeric representation that captures semantic similarity between diagnoses (e.g., different appendicitis subtypes mapping to the same DRG).</w:t>
      </w:r>
    </w:p>
    <w:p>
      <w:pPr>
        <w:pStyle w:val="ListParagraph"/>
        <w:numPr>
          <w:ilvl w:val="0"/>
          <w:numId w:val="2"/>
        </w:numPr>
        <w:spacing w:after="40" w:before="40"/>
      </w:pPr>
      <w:r>
        <w:rPr>
          <w:rFonts w:ascii="Times New Roman" w:cs="Times New Roman" w:eastAsia="Times New Roman" w:hAnsi="Times New Roman"/>
          <w:sz w:val="20"/>
          <w:szCs w:val="20"/>
        </w:rPr>
        <w:t xml:space="preserve">Imbalance Mitigation: Explore SMOTE (Synthetic Minority Over-sampling Technique) for minority DRG augmentation, and test class_weight='balanced' in the Random Forest to improve recall on underrepresented groups.</w:t>
      </w:r>
    </w:p>
    <w:p>
      <w:pPr>
        <w:pStyle w:val="ListParagraph"/>
        <w:numPr>
          <w:ilvl w:val="0"/>
          <w:numId w:val="2"/>
        </w:numPr>
        <w:spacing w:after="40" w:before="40"/>
      </w:pPr>
      <w:r>
        <w:rPr>
          <w:rFonts w:ascii="Times New Roman" w:cs="Times New Roman" w:eastAsia="Times New Roman" w:hAnsi="Times New Roman"/>
          <w:sz w:val="20"/>
          <w:szCs w:val="20"/>
        </w:rPr>
        <w:t xml:space="preserve">Secondary Feature Integration: Progressively incorporate Diagnóstico 02–10 (available in ~41–15% of records respectively) using multi-hot binary encoding, accepting increased sparsity in exchange for richer clinical context.</w:t>
      </w:r>
    </w:p>
    <w:p>
      <w:pPr>
        <w:pStyle w:val="ListParagraph"/>
        <w:numPr>
          <w:ilvl w:val="0"/>
          <w:numId w:val="2"/>
        </w:numPr>
        <w:spacing w:after="40" w:before="40"/>
      </w:pPr>
      <w:r>
        <w:rPr>
          <w:rFonts w:ascii="Times New Roman" w:cs="Times New Roman" w:eastAsia="Times New Roman" w:hAnsi="Times New Roman"/>
          <w:sz w:val="20"/>
          <w:szCs w:val="20"/>
        </w:rPr>
        <w:t xml:space="preserve">Hyperparameter Tuning: Apply GridSearchCV or Bayesian optimization over RF parameters (n_estimators ∈ {100, 200, 500}, max_depth ∈ {10, 20, None}, max_features ∈ {'sqrt', 'log2'}) and MLP parameters (hidden layers, learning rate, regularization term).</w:t>
      </w:r>
    </w:p>
    <w:p>
      <w:pPr>
        <w:pStyle w:val="ListParagraph"/>
        <w:numPr>
          <w:ilvl w:val="0"/>
          <w:numId w:val="2"/>
        </w:numPr>
        <w:spacing w:after="40" w:before="40"/>
      </w:pPr>
      <w:r>
        <w:rPr>
          <w:rFonts w:ascii="Times New Roman" w:cs="Times New Roman" w:eastAsia="Times New Roman" w:hAnsi="Times New Roman"/>
          <w:sz w:val="20"/>
          <w:szCs w:val="20"/>
        </w:rPr>
        <w:t xml:space="preserve">Stratified k-Fold Cross-Validation (k=5): Replace the single split with stratified k-fold to obtain confidence intervals on all reported metrics and reduce evaluation variance.</w:t>
      </w:r>
    </w:p>
    <w:p>
      <w:pPr>
        <w:pStyle w:val="ListParagraph"/>
        <w:numPr>
          <w:ilvl w:val="0"/>
          <w:numId w:val="2"/>
        </w:numPr>
        <w:spacing w:after="40" w:before="40"/>
      </w:pPr>
      <w:r>
        <w:rPr>
          <w:rFonts w:ascii="Times New Roman" w:cs="Times New Roman" w:eastAsia="Times New Roman" w:hAnsi="Times New Roman"/>
          <w:sz w:val="20"/>
          <w:szCs w:val="20"/>
        </w:rPr>
        <w:t xml:space="preserve">Advanced Models: Evaluate XGBoost and LightGBM, which have demonstrated superior performance in the DRG prediction literature (Yu &amp; Zhang, 2022) and handle class imbalance natively through built-in weighting schemes.</w:t>
      </w:r>
    </w:p>
    <w:p>
      <w:pPr>
        <w:pBdr>
          <w:top w:val="single" w:color="CCCCCC" w:sz="6" w:space="1"/>
        </w:pBdr>
        <w:spacing w:after="120" w:before="300"/>
      </w:pPr>
      <w:r>
        <w:rPr>
          <w:sz w:val="20"/>
          <w:szCs w:val="20"/>
        </w:rPr>
        <w:t xml:space="preserve"/>
      </w:r>
    </w:p>
    <w:p>
      <w:pPr>
        <w:spacing w:after="80"/>
        <w:jc w:val="center"/>
      </w:pPr>
      <w:r>
        <w:rPr>
          <w:rFonts w:ascii="Times New Roman" w:cs="Times New Roman" w:eastAsia="Times New Roman" w:hAnsi="Times New Roman"/>
          <w:b/>
          <w:bCs/>
          <w:sz w:val="20"/>
          <w:szCs w:val="20"/>
        </w:rPr>
        <w:t xml:space="preserve">SUPPLEMENTARY INFORMATION</w:t>
      </w:r>
    </w:p>
    <w:p>
      <w:pPr>
        <w:spacing w:after="60" w:before="60"/>
        <w:jc w:val="both"/>
      </w:pPr>
      <w:r>
        <w:rPr>
          <w:rFonts w:ascii="Times New Roman" w:cs="Times New Roman" w:eastAsia="Times New Roman" w:hAnsi="Times New Roman"/>
          <w:sz w:val="20"/>
          <w:szCs w:val="20"/>
        </w:rPr>
        <w:t xml:space="preserve">All code, trained model artifacts, preprocessing scripts, and EDA notebooks are available in the project GitHub repository: https://github.com/grupo5-cinf104/drg-prediction-elpino. The repository includes: (1) eda_elpino.ipynb — Jupyter notebook with full EDA and all figures; (2) train_models.py — script to reproduce all four models from the raw dataset; (3) models/ — directory containing the serialized Random Forest model (rf_baseline.pkl) and the MLP checkpoint; (4) chatbot/ — Phase 2 chatbot frontend and Ollama integration code.</w:t>
      </w:r>
    </w:p>
    <w:p>
      <w:pPr>
        <w:spacing w:after="60" w:before="60"/>
        <w:jc w:val="both"/>
      </w:pPr>
      <w:r>
        <w:rPr>
          <w:rFonts w:ascii="Times New Roman" w:cs="Times New Roman" w:eastAsia="Times New Roman" w:hAnsi="Times New Roman"/>
          <w:sz w:val="20"/>
          <w:szCs w:val="20"/>
        </w:rPr>
        <w:t xml:space="preserve">For Phase 2 (Chatbot), the team selected the domain of "Healthy Recipes and Nutrition" outside the field of computer science. This domain was chosen due to its rich structured knowledge (ingredients, nutritional values, cooking procedures) and its direct applicability in everyday life. The chatbot was implemented using prompt engineering over a local Llama 3.2 model served via Ollama, with a pure HTML/JS frontend requiring no server-side infrastructure beyond the Ollama process.</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jc w:val="center"/>
    </w:pPr>
    <w:r>
      <w:rPr>
        <w:rFonts w:ascii="Times New Roman" w:cs="Times New Roman" w:eastAsia="Times New Roman" w:hAnsi="Times New Roman"/>
        <w:color w:val="666666"/>
        <w:sz w:val="16"/>
        <w:szCs w:val="16"/>
      </w:rPr>
      <w:t xml:space="preserve">DRG PREDICTION AT HOSPITAL EL PINO — CINF104 Machine Learning — Group 5 — UNAB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2026-05-08T03:28:30.430Z</dcterms:created>
  <dcterms:modified xsi:type="dcterms:W3CDTF">2026-05-08T03:28:30.430Z</dcterms:modified>
</cp:coreProperties>
</file>

<file path=docProps/custom.xml><?xml version="1.0" encoding="utf-8"?>
<Properties xmlns="http://schemas.openxmlformats.org/officeDocument/2006/custom-properties" xmlns:vt="http://schemas.openxmlformats.org/officeDocument/2006/docPropsVTypes"/>
</file>