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PROSPECTO</w:t>
      </w:r>
    </w:p>
    <w:p/>
    <w:p>
      <w:r>
        <w:t>NEUROTIVIN®</w:t>
      </w:r>
    </w:p>
    <w:p/>
    <w:p>
      <w:r>
        <w:t>Principio activo: Tivinarina clorhidrato</w:t>
      </w:r>
    </w:p>
    <w:p>
      <w:r>
        <w:t>Forma farmacéutica: Comprimidos recubiertos</w:t>
      </w:r>
    </w:p>
    <w:p>
      <w:r>
        <w:t>Vía de administración: Oral</w:t>
      </w:r>
    </w:p>
    <w:p>
      <w:r>
        <w:t>Concentraciones: 25 mg – 50 mg – 100 mg</w:t>
      </w:r>
    </w:p>
    <w:p/>
    <w:p>
      <w:r>
        <w:t>1. ¿QUÉ ES NEUROTIVIN® Y PARA QUÉ SE UTILIZA?</w:t>
      </w:r>
    </w:p>
    <w:p/>
    <w:p>
      <w:r>
        <w:t>NEUROTIVIN® es un modulador neurofuncional de acción central indicado para el tratamiento del zumbido de oído persistente (tinnitus subjetivo) y de malestares cefálicos funcionales caracterizados por sensación de retumbo, presión o vibración en la cabeza.</w:t>
      </w:r>
    </w:p>
    <w:p/>
    <w:p>
      <w:r>
        <w:t>Está indicado en pacientes adultos con síntomas de origen neurosensorial sin lesión estructural demostrable.</w:t>
      </w:r>
    </w:p>
    <w:p/>
    <w:p>
      <w:r>
        <w:t>2. MECANISMO DE ACCIÓN</w:t>
      </w:r>
    </w:p>
    <w:p/>
    <w:p>
      <w:r>
        <w:t>La tivinarina clorhidrato actúa regulando la hiperexcitabilidad de los circuitos neuronales auditivos y centrales, disminuyendo la actividad aberrante responsable de la percepción sonora anómala y del malestar cefálico.</w:t>
      </w:r>
    </w:p>
    <w:p/>
    <w:p>
      <w:r>
        <w:t>El efecto terapéutico es progresivo y requiere administración continua.</w:t>
      </w:r>
    </w:p>
    <w:p/>
    <w:p>
      <w:r>
        <w:t>3. DURACIÓN DEL TRATAMIENTO Y EFECTO ESPERADO</w:t>
      </w:r>
    </w:p>
    <w:p/>
    <w:p>
      <w:r>
        <w:t>El tratamiento debe mantenerse durante un período mínimo de 4 semanas.</w:t>
      </w:r>
    </w:p>
    <w:p>
      <w:r>
        <w:t>La mejoría del zumbido de oído y de los malestares de cabeza suele evidenciarse a partir de la cuarta semana de tratamiento continuo, con estabilización progresiva del efecto en las semanas siguientes.</w:t>
      </w:r>
    </w:p>
    <w:p/>
    <w:p>
      <w:r>
        <w:t>No se recomienda la suspensión abrupta del tratamiento.</w:t>
      </w:r>
    </w:p>
    <w:p/>
    <w:p>
      <w:r>
        <w:t>4. CÓMO TOMAR NEUROTIVIN®</w:t>
      </w:r>
    </w:p>
    <w:p/>
    <w:p>
      <w:r>
        <w:t>La dosis habitual inicial es de 25 mg diarios, preferentemente por la noche.</w:t>
      </w:r>
    </w:p>
    <w:p>
      <w:r>
        <w:t>Según la respuesta clínica, el médico podrá ajustar la dosis a 50 o 100 mg diarios.</w:t>
      </w:r>
    </w:p>
    <w:p/>
    <w:p>
      <w:r>
        <w:t>Siga estrictamente las indicaciones médicas.</w:t>
      </w:r>
    </w:p>
    <w:p/>
    <w:p>
      <w:r>
        <w:t>5. POSIBLES EFECTOS ADVERSOS</w:t>
      </w:r>
    </w:p>
    <w:p/>
    <w:p>
      <w:r>
        <w:t>Pueden presentarse somnolencia leve, mareos transitorios o sensación de pesadez cefálica durante las primeras semanas de tratamiento.</w:t>
      </w:r>
    </w:p>
    <w:p/>
    <w:p>
      <w:r>
        <w:t>Estos efectos suelen disminuir con la continuidad del tratamiento.</w:t>
      </w:r>
    </w:p>
    <w:p/>
    <w:p>
      <w:r>
        <w:t>6. ADVERTENCIAS Y PRECAUCIONES</w:t>
      </w:r>
    </w:p>
    <w:p/>
    <w:p>
      <w:r>
        <w:t>Consulte a su médico antes de iniciar el tratamiento si presenta antecedentes de enfermedades neurológicas, hepáticas o si se encuentra bajo tratamiento con otros medicamentos de acción central.</w:t>
      </w:r>
    </w:p>
    <w:p/>
    <w:p>
      <w:r>
        <w:t>7. CONSERVACIÓN</w:t>
      </w:r>
    </w:p>
    <w:p/>
    <w:p>
      <w:r>
        <w:t>Conservar a temperatura ambiente, protegido de la luz y la humedad.</w:t>
      </w:r>
    </w:p>
    <w:p>
      <w:r>
        <w:t>Mantener fuera del alcance de los niños.</w:t>
      </w:r>
    </w:p>
    <w:p/>
    <w:p>
      <w:r>
        <w:t>8. INFORMACIÓN FINAL</w:t>
      </w:r>
    </w:p>
    <w:p/>
    <w:p>
      <w:r>
        <w:t>Medicamento de desarrollo ficticio con fines narrativos o educativos.</w:t>
      </w:r>
    </w:p>
    <w:p>
      <w:r>
        <w:t>No corresponde a un producto farmacéutico real.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