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Trabajo Práctico 1 – Conceptos de Seguridad</w:t>
      </w:r>
    </w:p>
    <w:p>
      <w:pPr>
        <w:pStyle w:val="Heading2"/>
      </w:pPr>
      <w:r>
        <w:t>Parte A – El inventario y la tríada</w:t>
      </w:r>
    </w:p>
    <w:p>
      <w:r>
        <w:t>Elijo como sistema, la PC de mi trabajo, en un organismo público.</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Activo</w:t>
            </w:r>
          </w:p>
        </w:tc>
        <w:tc>
          <w:tcPr>
            <w:tcW w:type="dxa" w:w="3135"/>
          </w:tcPr>
          <w:p>
            <w:r>
              <w:rPr>
                <w:b/>
              </w:rPr>
              <w:t>Pilar CIA crítico</w:t>
            </w:r>
          </w:p>
        </w:tc>
        <w:tc>
          <w:tcPr>
            <w:tcW w:type="dxa" w:w="3135"/>
          </w:tcPr>
          <w:p>
            <w:r>
              <w:rPr>
                <w:b/>
              </w:rPr>
              <w:t>Justificación</w:t>
            </w:r>
          </w:p>
        </w:tc>
      </w:tr>
      <w:tr>
        <w:tc>
          <w:tcPr>
            <w:tcW w:type="dxa" w:w="3135"/>
          </w:tcPr>
          <w:p>
            <w:r>
              <w:t>Administración del directorio compartido</w:t>
            </w:r>
          </w:p>
        </w:tc>
        <w:tc>
          <w:tcPr>
            <w:tcW w:type="dxa" w:w="3135"/>
          </w:tcPr>
          <w:p>
            <w:r>
              <w:t>Integridad</w:t>
            </w:r>
          </w:p>
        </w:tc>
        <w:tc>
          <w:tcPr>
            <w:tcW w:type="dxa" w:w="3135"/>
          </w:tcPr>
          <w:p>
            <w:r>
              <w:t>Si se alteran los archivos puede ser grave para las operaciones del organismo.</w:t>
            </w:r>
          </w:p>
        </w:tc>
      </w:tr>
      <w:tr>
        <w:tc>
          <w:tcPr>
            <w:tcW w:type="dxa" w:w="3135"/>
          </w:tcPr>
          <w:p>
            <w:r>
              <w:t>Administración de licencias de Microsoft</w:t>
            </w:r>
          </w:p>
        </w:tc>
        <w:tc>
          <w:tcPr>
            <w:tcW w:type="dxa" w:w="3135"/>
          </w:tcPr>
          <w:p>
            <w:r>
              <w:t>Confidencialidad</w:t>
            </w:r>
          </w:p>
        </w:tc>
        <w:tc>
          <w:tcPr>
            <w:tcW w:type="dxa" w:w="3135"/>
          </w:tcPr>
          <w:p>
            <w:r>
              <w:t>De filtrarse, se podría hacer un uso ilegítimo de nuestras licencias Office.</w:t>
            </w:r>
          </w:p>
        </w:tc>
      </w:tr>
      <w:tr>
        <w:tc>
          <w:tcPr>
            <w:tcW w:type="dxa" w:w="3135"/>
          </w:tcPr>
          <w:p>
            <w:r>
              <w:t>Gestor de backups del directorio compartido (Duplicati)</w:t>
            </w:r>
          </w:p>
        </w:tc>
        <w:tc>
          <w:tcPr>
            <w:tcW w:type="dxa" w:w="3135"/>
          </w:tcPr>
          <w:p>
            <w:r>
              <w:t>Integridad</w:t>
            </w:r>
          </w:p>
        </w:tc>
        <w:tc>
          <w:tcPr>
            <w:tcW w:type="dxa" w:w="3135"/>
          </w:tcPr>
          <w:p>
            <w:r>
              <w:t>La alteración del conjunto de backups puede dejar el organismo expuesto a la pérdida de datos.</w:t>
            </w:r>
          </w:p>
        </w:tc>
      </w:tr>
      <w:tr>
        <w:tc>
          <w:tcPr>
            <w:tcW w:type="dxa" w:w="3135"/>
          </w:tcPr>
          <w:p>
            <w:r>
              <w:t>Sitio web y su subsistema de reclamos</w:t>
            </w:r>
          </w:p>
        </w:tc>
        <w:tc>
          <w:tcPr>
            <w:tcW w:type="dxa" w:w="3135"/>
          </w:tcPr>
          <w:p>
            <w:r>
              <w:t>Confidencialidad y Disponibilidad</w:t>
            </w:r>
          </w:p>
        </w:tc>
        <w:tc>
          <w:tcPr>
            <w:tcW w:type="dxa" w:w="3135"/>
          </w:tcPr>
          <w:p>
            <w:r>
              <w:t>Su base de datos contiene datos personales de los reclamos. Si la página se cae, se pierde el servicio a los usuarios.</w:t>
            </w:r>
          </w:p>
        </w:tc>
      </w:tr>
      <w:tr>
        <w:tc>
          <w:tcPr>
            <w:tcW w:type="dxa" w:w="3135"/>
          </w:tcPr>
          <w:p>
            <w:r>
              <w:t>Mi cuenta de Teams</w:t>
            </w:r>
          </w:p>
        </w:tc>
        <w:tc>
          <w:tcPr>
            <w:tcW w:type="dxa" w:w="3135"/>
          </w:tcPr>
          <w:p>
            <w:r>
              <w:t>Confidencialidad</w:t>
            </w:r>
          </w:p>
        </w:tc>
        <w:tc>
          <w:tcPr>
            <w:tcW w:type="dxa" w:w="3135"/>
          </w:tcPr>
          <w:p>
            <w:r>
              <w:t>No es importante que esté disponible ni íntegro, pero es fundamental que nadie acceda a ella, o existe el peligro de ataques mediante suplantación de identidad.</w:t>
            </w:r>
          </w:p>
        </w:tc>
      </w:tr>
    </w:tbl>
    <w:p>
      <w:pPr>
        <w:pStyle w:val="Heading3"/>
      </w:pPr>
      <w:r>
        <w:t>Mini análisis de riesgo – Activo principal</w:t>
      </w:r>
    </w:p>
    <w:p>
      <w:r>
        <w:t>El activo más importante probablemente sea el de administración de directorios compartidos. La principal amenaza que veo es que algún tercero ingrese a mi máquina. Puede aprovecharse de la vulnerabilidad de que nuestras contraseñas son similares.</w:t>
      </w:r>
    </w:p>
    <w:tbl>
      <w:tblPr>
        <w:tblStyle w:val="LightGrid-Accent1"/>
        <w:tblW w:type="auto" w:w="0"/>
        <w:tblLook w:firstColumn="1" w:firstRow="1" w:lastColumn="0" w:lastRow="0" w:noHBand="0" w:noVBand="1" w:val="04A0"/>
      </w:tblPr>
      <w:tblGrid>
        <w:gridCol w:w="4703"/>
        <w:gridCol w:w="4703"/>
      </w:tblGrid>
      <w:tr>
        <w:tc>
          <w:tcPr>
            <w:tcW w:type="dxa" w:w="4703"/>
          </w:tcPr>
          <w:p>
            <w:r>
              <w:rPr>
                <w:b/>
              </w:rPr>
              <w:t>Concepto</w:t>
            </w:r>
          </w:p>
        </w:tc>
        <w:tc>
          <w:tcPr>
            <w:tcW w:type="dxa" w:w="4703"/>
          </w:tcPr>
          <w:p>
            <w:r>
              <w:rPr>
                <w:b/>
              </w:rPr>
              <w:t>Valor</w:t>
            </w:r>
          </w:p>
        </w:tc>
      </w:tr>
      <w:tr>
        <w:tc>
          <w:tcPr>
            <w:tcW w:type="dxa" w:w="4703"/>
          </w:tcPr>
          <w:p>
            <w:r>
              <w:t>Amenaza</w:t>
            </w:r>
          </w:p>
        </w:tc>
        <w:tc>
          <w:tcPr>
            <w:tcW w:type="dxa" w:w="4703"/>
          </w:tcPr>
          <w:p>
            <w:r>
              <w:t>Acceso no autorizado de un tercero a la máquina</w:t>
            </w:r>
          </w:p>
        </w:tc>
      </w:tr>
      <w:tr>
        <w:tc>
          <w:tcPr>
            <w:tcW w:type="dxa" w:w="4703"/>
          </w:tcPr>
          <w:p>
            <w:r>
              <w:t>Vulnerabilidad</w:t>
            </w:r>
          </w:p>
        </w:tc>
        <w:tc>
          <w:tcPr>
            <w:tcW w:type="dxa" w:w="4703"/>
          </w:tcPr>
          <w:p>
            <w:r>
              <w:t>Contraseñas similares entre usuarios</w:t>
            </w:r>
          </w:p>
        </w:tc>
      </w:tr>
      <w:tr>
        <w:tc>
          <w:tcPr>
            <w:tcW w:type="dxa" w:w="4703"/>
          </w:tcPr>
          <w:p>
            <w:r>
              <w:t>Probabilidad</w:t>
            </w:r>
          </w:p>
        </w:tc>
        <w:tc>
          <w:tcPr>
            <w:tcW w:type="dxa" w:w="4703"/>
          </w:tcPr>
          <w:p>
            <w:r>
              <w:t>Bajo</w:t>
            </w:r>
          </w:p>
        </w:tc>
      </w:tr>
      <w:tr>
        <w:tc>
          <w:tcPr>
            <w:tcW w:type="dxa" w:w="4703"/>
          </w:tcPr>
          <w:p>
            <w:r>
              <w:t>Impacto</w:t>
            </w:r>
          </w:p>
        </w:tc>
        <w:tc>
          <w:tcPr>
            <w:tcW w:type="dxa" w:w="4703"/>
          </w:tcPr>
          <w:p>
            <w:r>
              <w:t>Alto</w:t>
            </w:r>
          </w:p>
        </w:tc>
      </w:tr>
    </w:tbl>
    <w:p>
      <w:pPr>
        <w:ind w:left="850" w:right="850"/>
      </w:pPr>
      <w:r>
        <w:rPr>
          <w:i/>
          <w:color w:val="555555"/>
        </w:rPr>
        <w:t>"Amenaza = 'circunstancia o agente que pueda causar daño'. Vulnerabilidad = 'debilidad que la amenaza puede aprovechar'. Riesgo = probabilidad × impacto."</w:t>
      </w:r>
      <w:r>
        <w:rPr>
          <w:color w:val="777777"/>
          <w:sz w:val="20"/>
        </w:rPr>
        <w:br/>
        <w:t>— Apuntes §4 – El vocabulario del riesgo</w:t>
      </w:r>
    </w:p>
    <w:p>
      <w:pPr>
        <w:pStyle w:val="Heading2"/>
      </w:pPr>
      <w:r>
        <w:t>Parte B – La tríada en acción</w:t>
      </w:r>
    </w:p>
    <w:p>
      <w:pPr>
        <w:pStyle w:val="Heading3"/>
      </w:pPr>
      <w:r>
        <w:t>B.1 Integridad – funciones de hash</w:t>
      </w:r>
    </w:p>
    <w:p>
      <w:r>
        <w:t>Se creó un archivo orden.txt con el contenido original y se calculó su hash SHA-256. Luego se alteró un solo carácter (1000 → 9000) y se volvió a calcular.</w:t>
      </w:r>
    </w:p>
    <w:p>
      <w:r>
        <w:t>Código ejecutado:</w:t>
      </w:r>
    </w:p>
    <w:p>
      <w:r>
        <w:t>echo "Transferir 1000 a la cuenta 55" &gt; orden.txt</w:t>
      </w:r>
    </w:p>
    <w:p>
      <w:r>
        <w:t>Get-FileHash -Algorithm SHA256 orden.txt</w:t>
      </w:r>
    </w:p>
    <w:p/>
    <w:p>
      <w:r>
        <w:t>echo "Transferir 9000 a la cuenta 55" &gt; orden.txt</w:t>
      </w:r>
    </w:p>
    <w:p>
      <w:r>
        <w:t>Get-FileHash -Algorithm SHA256 orden.txt</w:t>
      </w:r>
    </w:p>
    <w:p>
      <w:r>
        <w:rPr>
          <w:b/>
        </w:rPr>
        <w:t>Captura de la ejecución:</w:t>
      </w:r>
    </w:p>
    <w:p>
      <w:r>
        <w:drawing>
          <wp:inline xmlns:a="http://schemas.openxmlformats.org/drawingml/2006/main" xmlns:pic="http://schemas.openxmlformats.org/drawingml/2006/picture">
            <wp:extent cx="5400000" cy="976438"/>
            <wp:docPr id="1" name="Picture 1"/>
            <wp:cNvGraphicFramePr>
              <a:graphicFrameLocks noChangeAspect="1"/>
            </wp:cNvGraphicFramePr>
            <a:graphic>
              <a:graphicData uri="http://schemas.openxmlformats.org/drawingml/2006/picture">
                <pic:pic>
                  <pic:nvPicPr>
                    <pic:cNvPr id="0" name="Captura-B.1.png"/>
                    <pic:cNvPicPr/>
                  </pic:nvPicPr>
                  <pic:blipFill>
                    <a:blip r:embed="rId9"/>
                    <a:stretch>
                      <a:fillRect/>
                    </a:stretch>
                  </pic:blipFill>
                  <pic:spPr>
                    <a:xfrm>
                      <a:off x="0" y="0"/>
                      <a:ext cx="5400000" cy="976438"/>
                    </a:xfrm>
                    <a:prstGeom prst="rect"/>
                  </pic:spPr>
                </pic:pic>
              </a:graphicData>
            </a:graphic>
          </wp:inline>
        </w:drawing>
      </w:r>
    </w:p>
    <w:p>
      <w:r>
        <w:rPr>
          <w:b/>
        </w:rPr>
        <w:t>Comparación de hashes:</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Versión</w:t>
            </w:r>
          </w:p>
        </w:tc>
        <w:tc>
          <w:tcPr>
            <w:tcW w:type="dxa" w:w="3135"/>
          </w:tcPr>
          <w:p>
            <w:r>
              <w:rPr>
                <w:b/>
              </w:rPr>
              <w:t>Contenido</w:t>
            </w:r>
          </w:p>
        </w:tc>
        <w:tc>
          <w:tcPr>
            <w:tcW w:type="dxa" w:w="3135"/>
          </w:tcPr>
          <w:p>
            <w:r>
              <w:rPr>
                <w:b/>
              </w:rPr>
              <w:t>SHA-256</w:t>
            </w:r>
          </w:p>
        </w:tc>
      </w:tr>
      <w:tr>
        <w:tc>
          <w:tcPr>
            <w:tcW w:type="dxa" w:w="3135"/>
          </w:tcPr>
          <w:p>
            <w:r>
              <w:t>Original</w:t>
            </w:r>
          </w:p>
        </w:tc>
        <w:tc>
          <w:tcPr>
            <w:tcW w:type="dxa" w:w="3135"/>
          </w:tcPr>
          <w:p>
            <w:r>
              <w:t>Transferir 1000 a la cuenta 55</w:t>
            </w:r>
          </w:p>
        </w:tc>
        <w:tc>
          <w:tcPr>
            <w:tcW w:type="dxa" w:w="3135"/>
          </w:tcPr>
          <w:p>
            <w:r>
              <w:t>6068A4CC2E99372A1C21D015AC93CEC8D9993C22465CC7B68E3CD5D0C821B7E6</w:t>
            </w:r>
          </w:p>
        </w:tc>
      </w:tr>
      <w:tr>
        <w:tc>
          <w:tcPr>
            <w:tcW w:type="dxa" w:w="3135"/>
          </w:tcPr>
          <w:p>
            <w:r>
              <w:t>Alterado</w:t>
            </w:r>
          </w:p>
        </w:tc>
        <w:tc>
          <w:tcPr>
            <w:tcW w:type="dxa" w:w="3135"/>
          </w:tcPr>
          <w:p>
            <w:r>
              <w:t>Transferir 9000 a la cuenta 55</w:t>
            </w:r>
          </w:p>
        </w:tc>
        <w:tc>
          <w:tcPr>
            <w:tcW w:type="dxa" w:w="3135"/>
          </w:tcPr>
          <w:p>
            <w:r>
              <w:t>95180D1A89125162D1B438C5725E49EB9906D28F7F677FD37D4970575C05E805</w:t>
            </w:r>
          </w:p>
        </w:tc>
      </w:tr>
    </w:tbl>
    <w:p>
      <w:r>
        <w:rPr>
          <w:b/>
        </w:rPr>
        <w:t>Respuesta:</w:t>
      </w:r>
    </w:p>
    <w:p>
      <w:r>
        <w:t>Al cambiar un solo dígito (1000 → 9000), el hash SHA-256 cambió completamente. La integridad se protege con funciones de hash porque permiten detectar si la información fue alterada: si alguien modifica el archivo, el hash calculado no coincidirá con el original. Sin embargo, el hash no sirve para deshacer la alteración porque es una función unidireccional — solo permite saber si el archivo fue modificado, pero no qué cambió ni cómo restaurarlo.</w:t>
      </w:r>
    </w:p>
    <w:p>
      <w:pPr>
        <w:ind w:left="850" w:right="850"/>
      </w:pPr>
      <w:r>
        <w:rPr>
          <w:i/>
          <w:color w:val="555555"/>
        </w:rPr>
        <w:t>"La información no debe alterarse de forma no autorizada, y una modificación debe poder detectarse. Se protege con funciones de hash, firmas digitales, control de versiones y permisos."</w:t>
      </w:r>
      <w:r>
        <w:rPr>
          <w:color w:val="777777"/>
          <w:sz w:val="20"/>
        </w:rPr>
        <w:br/>
        <w:t>— Apuntes §2.2 – Integridad</w:t>
      </w:r>
    </w:p>
    <w:p>
      <w:pPr>
        <w:pStyle w:val="Heading3"/>
      </w:pPr>
      <w:r>
        <w:t>B.2 Confidencialidad – cifrado simétrico</w:t>
      </w:r>
    </w:p>
    <w:p>
      <w:r>
        <w:t>Se cifró el archivo orden.txt con GnuPG usando cifrado simétrico (contraseña). Luego se intentó leer el archivo cifrado sin la clave, y finalmente se descifró con la contraseña correcta.</w:t>
      </w:r>
    </w:p>
    <w:p>
      <w:r>
        <w:t>Código ejecutado:</w:t>
      </w:r>
    </w:p>
    <w:p>
      <w:r>
        <w:t>gpg -c orden.txt          # genera orden.txt.gpg</w:t>
      </w:r>
    </w:p>
    <w:p>
      <w:r>
        <w:t>cat orden.txt.gpg         # basura binaria</w:t>
      </w:r>
    </w:p>
    <w:p>
      <w:r>
        <w:t>gpg -d orden.txt.gpg      # se recupera con la contraseña</w:t>
      </w:r>
    </w:p>
    <w:p>
      <w:r>
        <w:rPr>
          <w:b/>
        </w:rPr>
        <w:t>Captura de la ejecución:</w:t>
      </w:r>
    </w:p>
    <w:p>
      <w:r>
        <w:drawing>
          <wp:inline xmlns:a="http://schemas.openxmlformats.org/drawingml/2006/main" xmlns:pic="http://schemas.openxmlformats.org/drawingml/2006/picture">
            <wp:extent cx="5400000" cy="1246711"/>
            <wp:docPr id="2" name="Picture 2"/>
            <wp:cNvGraphicFramePr>
              <a:graphicFrameLocks noChangeAspect="1"/>
            </wp:cNvGraphicFramePr>
            <a:graphic>
              <a:graphicData uri="http://schemas.openxmlformats.org/drawingml/2006/picture">
                <pic:pic>
                  <pic:nvPicPr>
                    <pic:cNvPr id="0" name="Captura-B.2.png"/>
                    <pic:cNvPicPr/>
                  </pic:nvPicPr>
                  <pic:blipFill>
                    <a:blip r:embed="rId10"/>
                    <a:stretch>
                      <a:fillRect/>
                    </a:stretch>
                  </pic:blipFill>
                  <pic:spPr>
                    <a:xfrm>
                      <a:off x="0" y="0"/>
                      <a:ext cx="5400000" cy="1246711"/>
                    </a:xfrm>
                    <a:prstGeom prst="rect"/>
                  </pic:spPr>
                </pic:pic>
              </a:graphicData>
            </a:graphic>
          </wp:inline>
        </w:drawing>
      </w:r>
    </w:p>
    <w:p>
      <w:r>
        <w:rPr>
          <w:b/>
        </w:rPr>
        <w:t>Respuesta:</w:t>
      </w:r>
    </w:p>
    <w:p>
      <w:r>
        <w:t>El cifrado simétrico protege la confidencialidad: el archivo cifrado (orden.txt.gpg) es ilegible sin la contraseña. Si alguien roba el archivo cifrado pero no la contraseña, no se violó la confidencialidad, porque el contenido permanece protegido. Sin embargo, si además borra tu única copia, se viola la disponibilidad: ya no podés recuperar el archivo ni con la contraseña. Esto muestra por qué es importante mantener backups de los archivos cifrados.</w:t>
      </w:r>
    </w:p>
    <w:p>
      <w:pPr>
        <w:ind w:left="850" w:right="850"/>
      </w:pPr>
      <w:r>
        <w:rPr>
          <w:i/>
          <w:color w:val="555555"/>
        </w:rPr>
        <w:t>"La información debe ser accesible únicamente para quien está autorizado. Se protege principalmente con cifrado, control de acceso y clasificación de la información."</w:t>
      </w:r>
      <w:r>
        <w:rPr>
          <w:color w:val="777777"/>
          <w:sz w:val="20"/>
        </w:rPr>
        <w:br/>
        <w:t>— Apuntes §2.1 – Confidencialidad</w:t>
      </w:r>
    </w:p>
    <w:p>
      <w:pPr>
        <w:pStyle w:val="Heading3"/>
      </w:pPr>
      <w:r>
        <w:t>B.3 Confidencialidad e integridad – control de acceso</w:t>
      </w:r>
    </w:p>
    <w:p>
      <w:r>
        <w:t>Se inspeccionaron los permisos actuales del archivo orden.txt y luego se restringieron para que solo el dueño pueda leer y escribir.</w:t>
      </w:r>
    </w:p>
    <w:p>
      <w:r>
        <w:t>Código ejecutado:</w:t>
      </w:r>
    </w:p>
    <w:p>
      <w:r>
        <w:t>ls -l orden.txt</w:t>
      </w:r>
    </w:p>
    <w:p>
      <w:r>
        <w:t>chmod 600 orden.txt</w:t>
      </w:r>
    </w:p>
    <w:p>
      <w:r>
        <w:t>ls -l orden.txt           # -rw-------</w:t>
      </w:r>
    </w:p>
    <w:p>
      <w:r>
        <w:rPr>
          <w:b/>
        </w:rPr>
        <w:t>Captura de la ejecución:</w:t>
      </w:r>
    </w:p>
    <w:p>
      <w:r>
        <w:drawing>
          <wp:inline xmlns:a="http://schemas.openxmlformats.org/drawingml/2006/main" xmlns:pic="http://schemas.openxmlformats.org/drawingml/2006/picture">
            <wp:extent cx="5400000" cy="1216760"/>
            <wp:docPr id="3" name="Picture 3"/>
            <wp:cNvGraphicFramePr>
              <a:graphicFrameLocks noChangeAspect="1"/>
            </wp:cNvGraphicFramePr>
            <a:graphic>
              <a:graphicData uri="http://schemas.openxmlformats.org/drawingml/2006/picture">
                <pic:pic>
                  <pic:nvPicPr>
                    <pic:cNvPr id="0" name="Captura-B.3.png"/>
                    <pic:cNvPicPr/>
                  </pic:nvPicPr>
                  <pic:blipFill>
                    <a:blip r:embed="rId11"/>
                    <a:stretch>
                      <a:fillRect/>
                    </a:stretch>
                  </pic:blipFill>
                  <pic:spPr>
                    <a:xfrm>
                      <a:off x="0" y="0"/>
                      <a:ext cx="5400000" cy="1216760"/>
                    </a:xfrm>
                    <a:prstGeom prst="rect"/>
                  </pic:spPr>
                </pic:pic>
              </a:graphicData>
            </a:graphic>
          </wp:inline>
        </w:drawing>
      </w:r>
    </w:p>
    <w:p>
      <w:r>
        <w:rPr>
          <w:b/>
        </w:rPr>
        <w:t>Respuesta:</w:t>
      </w:r>
    </w:p>
    <w:p>
      <w:r>
        <w:t>El valor 600 en chmod significa: dueño = lectura (4) + escritura (2) = 6; grupo = nada (0); otros = nada (0). Solo el usuario propietario puede leer y modificar el archivo.</w:t>
      </w:r>
    </w:p>
    <w:p>
      <w:r>
        <w:t>Esto aporta a la confidencialidad porque impide que otros usuarios lean el contenido, y aporta a la integridad porque impide que otros lo modifiquen sin autorización. Se relaciona con el principio de menor privilegio: cada usuario recibe solo los permisos que necesita, minimizando la superficie de ataque.</w:t>
      </w:r>
    </w:p>
    <w:p>
      <w:pPr>
        <w:ind w:left="850" w:right="850"/>
      </w:pPr>
      <w:r>
        <w:rPr>
          <w:i/>
          <w:color w:val="555555"/>
        </w:rPr>
        <w:t>"Autorización: son los permisos asociados al usuario autenticado."</w:t>
      </w:r>
      <w:r>
        <w:rPr>
          <w:color w:val="777777"/>
          <w:sz w:val="20"/>
        </w:rPr>
        <w:br/>
        <w:t>— Apuntes §Amenazas en el control de acceso</w:t>
      </w:r>
    </w:p>
    <w:p>
      <w:pPr>
        <w:ind w:left="850" w:right="850"/>
      </w:pPr>
      <w:r>
        <w:rPr>
          <w:i/>
          <w:color w:val="555555"/>
        </w:rPr>
        <w:t>"Menor privilegio — cada usuario o proceso recibe solo los permisos que necesita. Es, probablemente, el principio más rentable."</w:t>
      </w:r>
      <w:r>
        <w:rPr>
          <w:color w:val="777777"/>
          <w:sz w:val="20"/>
        </w:rPr>
        <w:br/>
        <w:t>— Apuntes §6 – Principios de diseño seguro</w:t>
      </w:r>
    </w:p>
    <w:p>
      <w:pPr>
        <w:pStyle w:val="Heading3"/>
      </w:pPr>
      <w:r>
        <w:t>B.4 Disponibilidad – el backup que se prueba</w:t>
      </w:r>
    </w:p>
    <w:p>
      <w:r>
        <w:t>Se simuló la pérdida del archivo original y su restauración desde un backup.</w:t>
      </w:r>
    </w:p>
    <w:p>
      <w:r>
        <w:t>Código ejecutado:</w:t>
      </w:r>
    </w:p>
    <w:p>
      <w:r>
        <w:t>cp orden.txt orden.bak</w:t>
      </w:r>
    </w:p>
    <w:p>
      <w:r>
        <w:t>rm orden.txt              # "perdimos" el original</w:t>
      </w:r>
    </w:p>
    <w:p>
      <w:r>
        <w:t>cp orden.bak orden.txt    # restauramos</w:t>
      </w:r>
    </w:p>
    <w:p>
      <w:r>
        <w:t>cat orden.txt</w:t>
      </w:r>
    </w:p>
    <w:p>
      <w:r>
        <w:rPr>
          <w:b/>
        </w:rPr>
        <w:t>Captura de la ejecución:</w:t>
      </w:r>
    </w:p>
    <w:p>
      <w:r>
        <w:drawing>
          <wp:inline xmlns:a="http://schemas.openxmlformats.org/drawingml/2006/main" xmlns:pic="http://schemas.openxmlformats.org/drawingml/2006/picture">
            <wp:extent cx="5400000" cy="1524819"/>
            <wp:docPr id="4" name="Picture 4"/>
            <wp:cNvGraphicFramePr>
              <a:graphicFrameLocks noChangeAspect="1"/>
            </wp:cNvGraphicFramePr>
            <a:graphic>
              <a:graphicData uri="http://schemas.openxmlformats.org/drawingml/2006/picture">
                <pic:pic>
                  <pic:nvPicPr>
                    <pic:cNvPr id="0" name="Captura B.4.png"/>
                    <pic:cNvPicPr/>
                  </pic:nvPicPr>
                  <pic:blipFill>
                    <a:blip r:embed="rId12"/>
                    <a:stretch>
                      <a:fillRect/>
                    </a:stretch>
                  </pic:blipFill>
                  <pic:spPr>
                    <a:xfrm>
                      <a:off x="0" y="0"/>
                      <a:ext cx="5400000" cy="1524819"/>
                    </a:xfrm>
                    <a:prstGeom prst="rect"/>
                  </pic:spPr>
                </pic:pic>
              </a:graphicData>
            </a:graphic>
          </wp:inline>
        </w:drawing>
      </w:r>
    </w:p>
    <w:p>
      <w:r>
        <w:rPr>
          <w:b/>
        </w:rPr>
        <w:t>Respuesta:</w:t>
      </w:r>
    </w:p>
    <w:p>
      <w:r>
        <w:t>El backup protege el pilar de disponibilidad: garantiza que la información esté accesible cuando se la necesita, incluso ante la pérdida del original. Sin embargo, un backup que nunca se restauró no cuenta como control efectivo, porque no hay garantía de que funcione cuando se lo necesite. Podría estar corrupto, incompleto o desactualizado.</w:t>
      </w:r>
    </w:p>
    <w:p>
      <w:r>
        <w:t>La regla 3-2-1 (que veremos en la Unidad 2) establece: mantener 3 copias de los datos, en 2 medios diferentes, con 1 copia fuera del sitio. Esto asegura que si un evento destruye una copia (incendio, robo, fallo de disco), siempre exista al menos una alternativa accesible.</w:t>
      </w:r>
    </w:p>
    <w:p>
      <w:pPr>
        <w:ind w:left="850" w:right="850"/>
      </w:pPr>
      <w:r>
        <w:rPr>
          <w:i/>
          <w:color w:val="555555"/>
        </w:rPr>
        <w:t>"Se vulnera cuando algo no está (un servidor caído, un ataque de denegación de servicio, un backup que nunca se probó). Se protege con redundancia, backups, balanceo de carga y mantenimiento."</w:t>
      </w:r>
      <w:r>
        <w:rPr>
          <w:color w:val="777777"/>
          <w:sz w:val="20"/>
        </w:rPr>
        <w:br/>
        <w:t>— Apuntes §2.3 – Disponibilidad</w:t>
      </w:r>
    </w:p>
    <w:p>
      <w:pPr>
        <w:pStyle w:val="Heading2"/>
      </w:pPr>
      <w:r>
        <w:t>Parte C – Del riesgo al control</w:t>
      </w:r>
    </w:p>
    <w:p>
      <w:r>
        <w:t>Se retoma el activo principal de la Parte A: administración de directorios compartidos. La amenaza identificada es el acceso no autorizado de un tercero, aprovechando la vulnerabilidad de contraseñas similares.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rPr>
              <w:t>Control propuesto</w:t>
            </w:r>
          </w:p>
        </w:tc>
        <w:tc>
          <w:tcPr>
            <w:tcW w:type="dxa" w:w="2351"/>
          </w:tcPr>
          <w:p>
            <w:r>
              <w:rPr>
                <w:b/>
              </w:rPr>
              <w:t>Tipo</w:t>
            </w:r>
          </w:p>
        </w:tc>
        <w:tc>
          <w:tcPr>
            <w:tcW w:type="dxa" w:w="2351"/>
          </w:tcPr>
          <w:p>
            <w:r>
              <w:rPr>
                <w:b/>
              </w:rPr>
              <w:t>Pilar CIA</w:t>
            </w:r>
          </w:p>
        </w:tc>
        <w:tc>
          <w:tcPr>
            <w:tcW w:type="dxa" w:w="2351"/>
          </w:tcPr>
          <w:p>
            <w:r>
              <w:rPr>
                <w:b/>
              </w:rPr>
              <w:t>Descripción</w:t>
            </w:r>
          </w:p>
        </w:tc>
      </w:tr>
      <w:tr>
        <w:tc>
          <w:tcPr>
            <w:tcW w:type="dxa" w:w="2351"/>
          </w:tcPr>
          <w:p>
            <w:r>
              <w:t>Política de contraseñas robustas + 2FA</w:t>
            </w:r>
          </w:p>
        </w:tc>
        <w:tc>
          <w:tcPr>
            <w:tcW w:type="dxa" w:w="2351"/>
          </w:tcPr>
          <w:p>
            <w:r>
              <w:t>Preventivo</w:t>
            </w:r>
          </w:p>
        </w:tc>
        <w:tc>
          <w:tcPr>
            <w:tcW w:type="dxa" w:w="2351"/>
          </w:tcPr>
          <w:p>
            <w:r>
              <w:t>Confidencialidad</w:t>
            </w:r>
          </w:p>
        </w:tc>
        <w:tc>
          <w:tcPr>
            <w:tcW w:type="dxa" w:w="2351"/>
          </w:tcPr>
          <w:p>
            <w:r>
              <w:t>Exige contraseñas únicas, complejas y rotativas, y añade un segundo factor de verificación. Ataca directamente la vulnerabilidad de contraseñas similares.</w:t>
            </w:r>
          </w:p>
        </w:tc>
      </w:tr>
      <w:tr>
        <w:tc>
          <w:tcPr>
            <w:tcW w:type="dxa" w:w="2351"/>
          </w:tcPr>
          <w:p>
            <w:r>
              <w:t>Registro de auditoría (logs de acceso)</w:t>
            </w:r>
          </w:p>
        </w:tc>
        <w:tc>
          <w:tcPr>
            <w:tcW w:type="dxa" w:w="2351"/>
          </w:tcPr>
          <w:p>
            <w:r>
              <w:t>Detectivo</w:t>
            </w:r>
          </w:p>
        </w:tc>
        <w:tc>
          <w:tcPr>
            <w:tcW w:type="dxa" w:w="2351"/>
          </w:tcPr>
          <w:p>
            <w:r>
              <w:t>Integridad y Confidencialidad</w:t>
            </w:r>
          </w:p>
        </w:tc>
        <w:tc>
          <w:tcPr>
            <w:tcW w:type="dxa" w:w="2351"/>
          </w:tcPr>
          <w:p>
            <w:r>
              <w:t>Registra cada intento de acceso y acción sobre el directorio compartido. Permite detectar en tiempo real si alguien accedió o modificó archivos de forma no autorizada.</w:t>
            </w:r>
          </w:p>
        </w:tc>
      </w:tr>
    </w:tbl>
    <w:p>
      <w:pPr>
        <w:pStyle w:val="Heading3"/>
      </w:pPr>
      <w:r>
        <w:t>Justificación – ¿Cuál implementar primero?</w:t>
      </w:r>
    </w:p>
    <w:p>
      <w:r>
        <w:t>Implementaría primero la política de contraseñas robustas + 2FA (preventivo). La razón es que ataca la raíz del problema: la vulnerabilidad de contraseñas similares. Un control preventivo detiene el incidente antes de que ocurra, mientras que un control detectivo solo alerta después de que ya ocurrió daño.</w:t>
      </w:r>
    </w:p>
    <w:p>
      <w:r>
        <w:t>En términos de costo vs. reducción de riesgo: una política de contraseñas no tiene costo tecnológico significativo (se puede implementar con configuración del sistema operativo), y la 2FA tiene costos bajos o gratuitos con herramientas como Google Authenticator. En cambio, un sistema de logs requiere infraestructura de monitoreo, almacenamiento de registros y revisión periódica para ser efectivo.</w:t>
      </w:r>
    </w:p>
    <w:p>
      <w:pPr>
        <w:ind w:left="850" w:right="850"/>
      </w:pPr>
      <w:r>
        <w:rPr>
          <w:i/>
          <w:color w:val="555555"/>
        </w:rPr>
        <w:t>"Un control (o salvaguarda) es toda medida que reduce el riesgo. Preventivo — antes del incidente (Firewall, cifrado, control de acceso). Detectivo — durante el incidente (IDS, monitoreo, logs)."</w:t>
      </w:r>
      <w:r>
        <w:rPr>
          <w:color w:val="777777"/>
          <w:sz w:val="20"/>
        </w:rPr>
        <w:br/>
        <w:t>— Apuntes §5 – Controles</w:t>
      </w:r>
    </w:p>
    <w:p>
      <w:pPr>
        <w:ind w:left="850" w:right="850"/>
      </w:pPr>
      <w:r>
        <w:rPr>
          <w:i/>
          <w:color w:val="555555"/>
        </w:rPr>
        <w:t>"Menor privilegio — muchos incidentes graves empiezan con una cuenta que tenía más permisos de los necesarios."</w:t>
      </w:r>
      <w:r>
        <w:rPr>
          <w:color w:val="777777"/>
          <w:sz w:val="20"/>
        </w:rPr>
        <w:br/>
        <w:t>— Apuntes §6 – Principios de diseño seguro</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A1A2E"/>
      <w:sz w:val="36"/>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1A1A2E"/>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Calibri" w:hAnsi="Calibri"/>
      <w:b/>
      <w:bCs/>
      <w:color w:val="1A1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