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fff" w:val="clear"/>
        <w:spacing w:after="0" w:before="0" w:line="360" w:lineRule="auto"/>
        <w:ind w:firstLine="400"/>
        <w:jc w:val="both"/>
        <w:rPr>
          <w:b w:val="1"/>
          <w:bCs w:val="1"/>
          <w:color w:val="0a0a0a"/>
          <w:sz w:val="24"/>
          <w:szCs w:val="24"/>
        </w:rPr>
      </w:pPr>
      <w:bookmarkStart w:colFirst="0" w:colLast="0" w:name="_e181crbqskkk" w:id="0"/>
      <w:bookmarkEnd w:id="0"/>
      <w:r w:rsidDel="00000000" w:rsidR="00000000" w:rsidRPr="00000000">
        <w:rPr>
          <w:b w:val="1"/>
          <w:bCs w:val="1"/>
          <w:color w:val="0a0a0a"/>
          <w:sz w:val="24"/>
          <w:szCs w:val="24"/>
          <w:rtl w:val="0"/>
        </w:rPr>
        <w:t xml:space="preserve">Boletín 31/07</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affff" w:val="clear"/>
        <w:spacing w:after="0" w:before="0" w:line="360" w:lineRule="auto"/>
        <w:ind w:firstLine="400"/>
        <w:jc w:val="both"/>
        <w:rPr>
          <w:b w:val="1"/>
          <w:bCs w:val="1"/>
          <w:color w:val="0a0a0a"/>
          <w:sz w:val="24"/>
          <w:szCs w:val="24"/>
        </w:rPr>
      </w:pPr>
      <w:bookmarkStart w:colFirst="0" w:colLast="0" w:name="_mbilmll7pc6t" w:id="1"/>
      <w:bookmarkEnd w:id="1"/>
      <w:r w:rsidDel="00000000" w:rsidR="00000000" w:rsidRPr="00000000">
        <w:rPr>
          <w:b w:val="1"/>
          <w:bCs w:val="1"/>
          <w:color w:val="0a0a0a"/>
          <w:sz w:val="24"/>
          <w:szCs w:val="24"/>
          <w:rtl w:val="0"/>
        </w:rPr>
        <w:t xml:space="preserve">DECRETO Nº 8583-MHIP-2026.-</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San Luis, 25 de Julio de 2026.-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affff" w:val="clear"/>
        <w:rPr>
          <w:color w:val="0a0a0a"/>
          <w:sz w:val="24"/>
          <w:szCs w:val="24"/>
        </w:rPr>
      </w:pPr>
      <w:r w:rsidDel="00000000" w:rsidR="00000000" w:rsidRPr="00000000">
        <w:rPr>
          <w:color w:val="0a0a0a"/>
          <w:sz w:val="24"/>
          <w:szCs w:val="24"/>
          <w:rtl w:val="0"/>
        </w:rPr>
        <w:t xml:space="preserve">“2026 - AÑO DE LA EDUCACIÓN EN SAN LUIS - BICENTENARIO DE LA FUNDACIÓN DE LA PRIMERA ESCUELA DE DOMINGO FAUSTINO SARMIENTO”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VISTO: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El EXD-0000-7150404/26; 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CONSIDERANDO: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la coyuntura económica y financiera que sustentó la declaración de emergencia pública, ratificada por la Ley Nº V-1118-2024 y su prórroga mediante la Ley Nº V-1164-2025, continúa vigente, condicionando el flujo de las finanzas de la Provincia;</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los recursos de origen nacional, particularmente aquellos provenientes del régimen de coparticipación federal, siguen exhibiendo una retracción real y sostenida en comparación con los promedios históricos;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frente a dicho escenario, se implementó un programa de contención del gasto público, logrando economías operativas mediante la reestructuración y reducción del organigrama de la Administración y la afectación preventiva de saldos presupuestarios dispuesta por el Decreto Nº 3898-MHIP-2026;</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asimismo, por Ley Nº V-1164-2025 se creó la Reserva Social y Salarial -también resultado del manejo fiscalmente responsable del erario público– con el objeto de garantizar el pago de los salarios y de los beneficios sociales ante eventuales caídas de ingresos;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la aplicación de estas políticas de austeridad ha permitido constituir los márgenes financieros necesarios para proceder a una justa recomposición de los haberes de todos los trabajadores de la Administración Pública Provincial;</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en este orden de ideas, resulta viable y oportuno disponer un incremento salarial del VEINTE POR CIENTO (20%) para el personal de la Administración Pública Provincial, el cual será liquidado de manera escalonada en cuatro (4) tramos del CINCO POR CIENTO (5%) cada uno, pagaderos con los haberes correspondientes a los meses de julio, agosto, octubre y noviembre del corriente ejercicio fiscal;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persistiendo las circunstancias que motivaron la creación del Fondo de Incentivo Docente Provincial mediante Decreto Nº 1636-MHIP-2024, corresponde prorrogar su vigencia para los meses de julio a diciembre de 2026, a fin de evitar una disminución en los haberes de los docentes;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Asimismo, dicho aumento se extenderá al personal comprendido en los Convenios Colectivos de Trabajo Nº 122/75, N°131/75 y Nº 572/09, revistiendo el carácter de a cuenta de futuros aumentos, teniendo en consideración las restricciones reseñadas y, en el particular, el Artículo 23 del Decreto Nº 150-SGG-2023;</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respecto al personal de la salud alcanzado por el Convenio Colectivo de Trabajo N° 122/75, resulta pertinente -sin que ello colisione con la disposición del Art. 23 del Decreto Nº 150-SGG-2023- homologar el acuerdo salarial suscripto con fecha 27 de noviembre de 2025, obrante en act. DOCEXT 1598016/26, con vigencia a partir del mes de julio de 2026, debiendo compensarse los incrementos otorgados a cuenta hasta su concurrencia;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corresponde la readecuación de los tramos de sueldo bruto para la liquidación de las Asignaciones Familiares reguladas en el Artículo 2º de la Ley N° I-0877-2013 en función del aumento salarial a otorgarse;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en igual sentido, deviene conveniente reajustar los complementos remunerativos y no remunerativos que percibe el personal docente de educación obligatoria y de los Institutos de Educación Superior de la provincia de San Luis;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finalmente, es necesario actualizar los valores que perciben los beneficiarios de planes sociales provinciales;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en orden a tal interpretación, resulta necesario considerar que el Poder Ejecutivo Provincial debe intervenir por mandato constitucional, a fin de adoptar medidas de eficiencia mediante el dictado de normas de necesidad y urgencia, atento a la inmediatez que las circunstancias imponen para garantizar la pronta recomposición salarial y evitar afectar la percepción de los haberes; debiendo comunicar tal decisión a ambas cámaras legislativas para su ratificación;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Que, por lo expuesto, es necesario dictar el presente acto administrativo fundado en razones de necesidad y urgencia;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Por ello y en uso de sus atribuciones;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affff" w:val="clear"/>
        <w:ind w:firstLine="220"/>
        <w:jc w:val="center"/>
        <w:rPr>
          <w:b w:val="1"/>
          <w:bCs w:val="1"/>
          <w:sz w:val="24"/>
          <w:szCs w:val="24"/>
        </w:rPr>
      </w:pPr>
      <w:r w:rsidDel="00000000" w:rsidR="00000000" w:rsidRPr="00000000">
        <w:rPr>
          <w:b w:val="1"/>
          <w:bCs w:val="1"/>
          <w:sz w:val="24"/>
          <w:szCs w:val="24"/>
          <w:rtl w:val="0"/>
        </w:rPr>
        <w:t xml:space="preserve">EL GOBERNADOR DE LA PROVINCIA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affff" w:val="clear"/>
        <w:ind w:firstLine="220"/>
        <w:jc w:val="center"/>
        <w:rPr>
          <w:b w:val="1"/>
          <w:bCs w:val="1"/>
          <w:sz w:val="24"/>
          <w:szCs w:val="24"/>
        </w:rPr>
      </w:pPr>
      <w:r w:rsidDel="00000000" w:rsidR="00000000" w:rsidRPr="00000000">
        <w:rPr>
          <w:b w:val="1"/>
          <w:bCs w:val="1"/>
          <w:sz w:val="24"/>
          <w:szCs w:val="24"/>
          <w:rtl w:val="0"/>
        </w:rPr>
        <w:t xml:space="preserve">EN ACUERDO DE MINISTROS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affff" w:val="clear"/>
        <w:ind w:firstLine="220"/>
        <w:jc w:val="center"/>
        <w:rPr>
          <w:b w:val="1"/>
          <w:bCs w:val="1"/>
          <w:sz w:val="24"/>
          <w:szCs w:val="24"/>
        </w:rPr>
      </w:pPr>
      <w:r w:rsidDel="00000000" w:rsidR="00000000" w:rsidRPr="00000000">
        <w:rPr>
          <w:b w:val="1"/>
          <w:bCs w:val="1"/>
          <w:sz w:val="24"/>
          <w:szCs w:val="24"/>
          <w:rtl w:val="0"/>
        </w:rPr>
        <w:t xml:space="preserve">DECRETA:</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Art.1º.- Modificar el Art. 1° del Decreto N° 1495-MHIP-2026, el que quedará redactado de la siguiente manera: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 1°.- “ Otorgar un incremento del TREINTA POR CIENTO (30%) sobre los haberes percibidos en enero de 2026, a los agentes de la Administración Pública Provincial, centralizada y descentralizada, dependiente del Poder Ejecutivo, con excepción de los conceptos establecidos en el Artículo 1º del Decreto Nº 2315-MHIP-2024, en el Artículo 1º del Decreto N° 3491-MHIP-2024, en el Artículo 1° del Decreto N° 78-MHIP-2026 y de aquellos conceptos respecto de los cuales se establezca expresamente un tratamiento particular en el presente Decreto, el cual se hará efectivo de la siguiente manera: CINCO POR CIENTO (5%) en el mes de febrero de 2026, CINCO POR CIENTO (5%) en el mes de abril de 2026, CINCO POR CIENTO (5%) en el mes de julio de 2026, CINCO POR CIENTO (5%) en el mes de agosto de 2026, CINCO POR CIENTO (5%) en el mes de octubre de 2026 y CINCO POR CIENTO (5%) en el mes de noviembre de 2026”.-</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Art.2°.- Establecer a partir del mes de julio de 2026 para el personal docente de educación obligatoria -inicial, primaria y secundaria-, excepto para los cargos directivos y supervisores del sistema educativo provincial, una modificación en los porcentajes vigentes del adicional COMPLEMENTO REMUNERATIVO cuyo importe será el CIENTO CUARENTA POR CIENTO (140%) del sueldo básico de la función y/o de las horas cátedra docentes; y del adicional COMPLEMENTO NO REMUNERATIVO cuyo importe será el NOVENTA Y SIETE POR CIENTO (97%) del sueldo básico de la función y/o de las horas cátedra docentes.-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Art.3°.- Establecer a partir del mes de julio de 2026 para el personal docente de los Institutos de Educación Superior de la provincia de San Luis, una modificación en los porcentajes vigentes del adicional COMPLEMENTO REMUNERATIVO, cuyo importe será el SETENTA POR CIENTO (70%) del sueldo básico de la función docente; y del adicional COMPLEMENTO NO REMUNERATIVO cuyo importe será el VEINTICINCO POR CIENTO (25%) del sueldo básico de la función docente.-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Art.4°.- Establecer para los meses de julio a diciembre de 2026 un Adicional no remunerativo denominado FONDO DE INCENTIVO DOCENTE PROVINCIAL de PESOS VEINTIOCHO MIL SETECIENTOS CON 00/100 ($28.700,00), para el cargo testigo de Maestro de Grado o QUINCE (15) horas cátedra secundarias, el cual se liquidará conforme las pautas y criterios establecidos por la Ley Nacional Nº 25.053.-</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Art.5°.- Establecer que para los agentes incluidos en los convenios colectivos de trabajo Nº 122/75 (ATSA), Nº 572/09 (STVyA) y N° 131/75 (SATSAID) que a la fecha del presente Decreto tuvieran pendientes incrementos salariales o los que se efectivicen en el futuro por imperio de normativas o acuerdos a homologar conforme lo dispuesto en la Ley Nº VI-0750-2010, gozarán del incremento salarial establecido en el Art. 1º, el cual tendrá el carácter de pago a cuenta de futuros aumentos, compensable hasta su total concurrencia.-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Art.6°.- Homologar, con vigencia a partir del mes julio de 2026, el ACUERDO SALARIAL suscripto el día 27 de noviembre de 2025, entre la Federación de Asociaciones de Trabajadores de la Sanidad Argentina (FATSA), por la parte sindical y la Asociación de Clínicas, Sanatorios Y Hospitales Privados de la República Argentina (ADECRA), la Confederación Argentina de Clínicas, Sanatorios Y Hospitales (CONFECLISA), la Cámara Argentina de Clínicas Y Establecimientos Psiquiátricos (CACEP), la Asociación Argentina De Establecimientos Geriátricos (AAEG) y la Cámara Argentina De Entidades Prestadoras de Salud (CEPSAL), por la parte empleadora, respecto a los valores de los salarios básicos fijados para el mes de enero 2026, para todos los trabajadores encuadrados en dicho convenio, obrante en act. DOCEXT 1598016/26.-</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Art.7º.- Establecer los siguientes valores y tramos de remuneraciones de las asignaciones familiares, de acuerdo con las siguientes tablas: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 A partir del mes de julio de 2026:</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4.3592973955183"/>
        <w:gridCol w:w="1592.192852816475"/>
        <w:gridCol w:w="2008.7549364021809"/>
        <w:gridCol w:w="2008.7549364021809"/>
        <w:gridCol w:w="1601.4497880072686"/>
        <w:tblGridChange w:id="0">
          <w:tblGrid>
            <w:gridCol w:w="1814.3592973955183"/>
            <w:gridCol w:w="1592.192852816475"/>
            <w:gridCol w:w="2008.7549364021809"/>
            <w:gridCol w:w="2008.7549364021809"/>
            <w:gridCol w:w="1601.4497880072686"/>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TIPO DE ASIGNACION</w:t>
            </w:r>
          </w:p>
        </w:tc>
        <w:tc>
          <w:tcPr>
            <w:gridSpan w:val="4"/>
            <w:tcBorders>
              <w:top w:color="000000" w:space="0" w:sz="6" w:val="single"/>
              <w:left w:color="000000" w:space="0" w:sz="6" w:val="single"/>
              <w:bottom w:color="000000" w:space="0" w:sz="6" w:val="single"/>
              <w:right w:color="000000" w:space="0" w:sz="6" w:val="single"/>
            </w:tcBorders>
            <w:tcMar>
              <w:top w:w="20.0" w:type="dxa"/>
              <w:left w:w="60.0" w:type="dxa"/>
              <w:bottom w:w="20.0" w:type="dxa"/>
              <w:right w:w="6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TRAMOS DE SUELDO BRUTO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28">
            <w:pPr>
              <w:spacing w:after="6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hasta $1.541.304,48</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entre $1.541.304,49 y $1.885.713,31</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entre $1.885.713,32 y $2.402.325,16</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desde $2.402.325,17</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a. Maternidad</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Equivalente a 3 Sueldos Básicos Escalafón General Categoría “E”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b. Nacimiento</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$47.818,00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c. Adopción</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$285.950,00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d. Matrimonio</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$71.604,00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e. Prenatal</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$61.536,00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$41.501,00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$25.097,00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$12.938,00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f. Hijo</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$61.536,00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$41.501,00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$25.097,00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$12.938,00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g. Hijo con Discapacidad</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$200.383,00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$141.751,00</w:t>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$89.458,00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h. Ayuda Escolar Anual</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$150.000,00</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i. Ayuda Escolar Anual Hijo con Discapacidad</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$150.000,00</w:t>
            </w:r>
          </w:p>
        </w:tc>
      </w:tr>
    </w:tbl>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b) A partir del mes de agosto de 2026:</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4.3592973955183"/>
        <w:gridCol w:w="1592.192852816475"/>
        <w:gridCol w:w="2008.7549364021809"/>
        <w:gridCol w:w="2008.7549364021809"/>
        <w:gridCol w:w="1601.4497880072686"/>
        <w:tblGridChange w:id="0">
          <w:tblGrid>
            <w:gridCol w:w="1814.3592973955183"/>
            <w:gridCol w:w="1592.192852816475"/>
            <w:gridCol w:w="2008.7549364021809"/>
            <w:gridCol w:w="2008.7549364021809"/>
            <w:gridCol w:w="1601.4497880072686"/>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TIPO DE ASIGNACION</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TRAMOS DE SUELDO BRUTO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60">
            <w:pPr>
              <w:spacing w:after="6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hasta $1.608.317,72</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entre $1.608.317,73 y $1.967.700,84</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entre $1.967.700,85 y $2.506.774,08</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desde $2.506.774,09</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a. Maternidad</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Equivalente a 3 Sueldos Básicos Escalafón General Categoría “E”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b. Nacimiento</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$47.818,00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c. Adopción</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$285.950,00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d. Matrimonio</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$71.604,00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e. Prenatal</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$61.536,00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$41.501,00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$25.097,00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$12.938,00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f. Hijo</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$61.536,00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$41.501,00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$25.097,00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$12.938,00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g. Hijo con Discapacidad</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$200.383,00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$141.751,00</w:t>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$89.458,00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h. Ayuda Escolar Anual</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$150.000,00</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i. Ayuda Escolar Anual Hijo con Discapacidad</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$150.000,00</w:t>
            </w:r>
          </w:p>
        </w:tc>
      </w:tr>
    </w:tbl>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affff" w:val="clear"/>
        <w:ind w:left="160" w:firstLine="220"/>
        <w:jc w:val="both"/>
        <w:rPr>
          <w:color w:val="0a0a0a"/>
          <w:sz w:val="24"/>
          <w:szCs w:val="24"/>
        </w:rPr>
      </w:pPr>
      <w:r w:rsidDel="00000000" w:rsidR="00000000" w:rsidRPr="00000000">
        <w:rPr>
          <w:color w:val="0a0a0a"/>
          <w:sz w:val="24"/>
          <w:szCs w:val="24"/>
          <w:rtl w:val="0"/>
        </w:rPr>
        <w:t xml:space="preserve">c) A partir del mes de octubre de 2026:</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4.3592973955183"/>
        <w:gridCol w:w="1592.192852816475"/>
        <w:gridCol w:w="2008.7549364021809"/>
        <w:gridCol w:w="2008.7549364021809"/>
        <w:gridCol w:w="1601.4497880072686"/>
        <w:tblGridChange w:id="0">
          <w:tblGrid>
            <w:gridCol w:w="1814.3592973955183"/>
            <w:gridCol w:w="1592.192852816475"/>
            <w:gridCol w:w="2008.7549364021809"/>
            <w:gridCol w:w="2008.7549364021809"/>
            <w:gridCol w:w="1601.4497880072686"/>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TIPO DE ASIGNACION</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TRAMOS DE SUELDO BRUTO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98">
            <w:pPr>
              <w:spacing w:after="6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hasta $1.675.330,95</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entre $1.675.330,96 y $2.049.688,38</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entre $2.049.688,39 y $2.611.223,00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desde $2.611.223,01</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a. Maternidad</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Equivalente a 3 Sueldos Básicos Escalafón General Categoría “E”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b. Nacimiento</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$47.818,00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c. Adopción</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$285.950,00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d. Matrimonio</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$71.604,00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e. Prenatal</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$61.536,00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$41.501,00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$25.097,00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$12.938,00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f. Hijo</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$61.536,00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$41.501,00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$25.097,00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$12.938,00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g. Hijo con Discapacidad</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$200.383,00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$141.751,00</w:t>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$89.458,00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h. Ayuda Escolar Anual</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$150.000,00</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i. Ayuda Escolar Anual Hijo con Discapacidad</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$150.000,00</w:t>
            </w:r>
          </w:p>
        </w:tc>
      </w:tr>
    </w:tbl>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d) A partir del mes de noviembre de 2026:</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4.3592973955183"/>
        <w:gridCol w:w="1592.192852816475"/>
        <w:gridCol w:w="2008.7549364021809"/>
        <w:gridCol w:w="2008.7549364021809"/>
        <w:gridCol w:w="1601.4497880072686"/>
        <w:tblGridChange w:id="0">
          <w:tblGrid>
            <w:gridCol w:w="1814.3592973955183"/>
            <w:gridCol w:w="1592.192852816475"/>
            <w:gridCol w:w="2008.7549364021809"/>
            <w:gridCol w:w="2008.7549364021809"/>
            <w:gridCol w:w="1601.4497880072686"/>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TIPO DE ASIGNACION</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TRAMOS DE SUELDO BRUTO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D0">
            <w:pPr>
              <w:spacing w:after="6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hasta $1.742.344,19</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entre $1.742.344,20 y $2.131.675,91</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entre $2.131.675,92 y $2.715.671,92</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Remuneración desde $2.715.671,93</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a. Maternidad</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Equivalente a 3 Sueldos Básicos Escalafón General Categoría “E”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b. Nacimiento</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$47.818,00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c. Adopción</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$285.950,00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d. Matrimonio</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$71.604,00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e. Prenatal</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$61.536,00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$41.501,00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$25.097,00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$12.938,00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f. Hijo</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$61.536,00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$41.501,00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$25.097,00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$12.938,00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g. Hijo con Discapacidad</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$200.383,00</w:t>
            </w:r>
          </w:p>
        </w:tc>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$141.751,00</w:t>
            </w:r>
          </w:p>
        </w:tc>
        <w:tc>
          <w:tcPr>
            <w:gridSpan w:val="2"/>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$89.458,00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h. Ayuda Escolar Anual</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$150.000,00</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i. Ayuda Escolar Anual Hijo con Discapacidad</w:t>
            </w:r>
          </w:p>
        </w:tc>
        <w:tc>
          <w:tcPr>
            <w:gridSpan w:val="4"/>
            <w:tcBorders>
              <w:top w:color="000000" w:space="0" w:sz="6" w:val="single"/>
              <w:left w:color="000000" w:space="0" w:sz="6" w:val="single"/>
              <w:bottom w:color="000000" w:space="0" w:sz="6" w:val="single"/>
              <w:right w:color="000000" w:space="0" w:sz="6" w:val="single"/>
            </w:tcBorders>
            <w:shd w:fill="auto" w:val="clear"/>
            <w:tcMar>
              <w:top w:w="20.0" w:type="dxa"/>
              <w:left w:w="60.0" w:type="dxa"/>
              <w:bottom w:w="20.0" w:type="dxa"/>
              <w:right w:w="6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60" w:lineRule="auto"/>
              <w:rPr>
                <w:color w:val="0a0a0a"/>
                <w:sz w:val="24"/>
                <w:szCs w:val="24"/>
              </w:rPr>
            </w:pPr>
            <w:r w:rsidDel="00000000" w:rsidR="00000000" w:rsidRPr="00000000">
              <w:rPr>
                <w:color w:val="0a0a0a"/>
                <w:sz w:val="24"/>
                <w:szCs w:val="24"/>
                <w:rtl w:val="0"/>
              </w:rPr>
              <w:t xml:space="preserve">$150.000,00</w:t>
            </w:r>
          </w:p>
        </w:tc>
      </w:tr>
    </w:tbl>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Art.8º.- Lo establecido en los Artículos 1°, 2° y 4° del presente Decreto, se otorgará a los docentes de las Escuelas de Gestión Privada, Subvencionadas por el Estado Provincial, de acuerdo con el porcentaje de subvención que a cada establecimiento educativo corresponda.-</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Art.9º.- Establecer, que la colaboración económica mensual a los Beneficiarios de Inclusión Social, Ley Nº I-0001-2022, será: a partir del mes de julio de 2026 de PESOS QUINIENTOS TREINTA Y CINCO MIL CON 00/100 ($535.000,00) del cual deberá descontárseles un aporte solidario y personal con destino a la Dirección de Obra Social del Estado Provincial (D.O.S.E.P.) de PESOS DIEZ MIL CON 00/100 ($10.000,00); que a partir del mes de agosto de 2026, será de PESOS QUINIENTOS SESENTA MIL CON 00/100 ($560.000,00) del cual deberá descontárseles un aporte solidario y personal con destino a la Dirección de Obra Social del Estado Provincial (D.O.S.E.P.) de PESOS DIEZ MIL CON 00/100 ($10.000,00); que a partir del mes de octubre de 2026, será de PESOS QUINIENTOS OCHENTA Y CINCO MIL CON 00/100 ($585.000,00) del cual deberá descontárseles un aporte solidario y personal con destino a la Dirección de Obra Social del Estado Provincial (D.O.S.E.P.) de PESOS DIEZ MIL CON 00/100 ($10.000,00) y, que a partir del mes de noviembre de 2026, será de PESOS SEISCIENTOS DIEZ MIL CON 00/100 ($610.000,00) del cual deberá descontárseles un aporte solidario y personal con destino a la Dirección de Obra Social del Estado Provincial (D.O.S.E.P.) de PESOS DIEZ MIL CON 00/100 ($10.000,00).-</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Art.10º.-Si de las liquidaciones que se realicen en el marco de la aplicación del presente Decreto, se deslizaren errores o inconsistencias, sus efectos no serán considerados como derechos adquiridos, sino que serán rectificados en las liquidaciones posteriores correspondientes.-</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Art.11.- Facultar al Ministerio de Hacienda e Infraestructura Pública a realizar las adecuaciones presupuestarias que sean necesarias a los fines del cumplimiento del presente Decreto.-</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Art.12.- Comunicar a ambas Cámaras del Poder Legislativo de la Provincia de San Luis.-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Art.13.- Hacer saber a Secretaría General de la Gobernación, todos los Ministerios, Secretarías de Estado, Dirección de Recursos Humanos, Dirección de Presupuesto Público, Subdirección de Análisis y Liquidación de Haberes, Tesorería General de la Provincia y Contaduría General de la Provincia.-</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Art.14.- EI presente Decreto será refrendado por la señora Ministro Secretario de Estado de Hacienda e Infraestructura Pública, la señora Secretaria General de la Gobernación, el señor Ministro Secretario de Estado de Gobierno, la señora Ministro Secretario de Estado de Salud, el señor Ministro Secretario de Estado de Educación, el señor Ministro Secretario de Estado de Desarrollo Productivo y Sustentable, el señor Ministro Secretario de Estado de Desarrollo Humano, la señora Ministro Secretario de Estado de Seguridad y el señor Ministro Secretario de Estado de Turismo y Cultura.-</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color w:val="0a0a0a"/>
          <w:sz w:val="24"/>
          <w:szCs w:val="24"/>
        </w:rPr>
      </w:pPr>
      <w:r w:rsidDel="00000000" w:rsidR="00000000" w:rsidRPr="00000000">
        <w:rPr>
          <w:color w:val="0a0a0a"/>
          <w:sz w:val="24"/>
          <w:szCs w:val="24"/>
          <w:rtl w:val="0"/>
        </w:rPr>
        <w:t xml:space="preserve">Art.15.- Comunicar, publicar, dar al Registro Oficial y archivar.-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b w:val="1"/>
          <w:bCs w:val="1"/>
          <w:color w:val="0a0a0a"/>
          <w:sz w:val="24"/>
          <w:szCs w:val="24"/>
        </w:rPr>
      </w:pPr>
      <w:r w:rsidDel="00000000" w:rsidR="00000000" w:rsidRPr="00000000">
        <w:rPr>
          <w:b w:val="1"/>
          <w:bCs w:val="1"/>
          <w:color w:val="0a0a0a"/>
          <w:sz w:val="24"/>
          <w:szCs w:val="24"/>
          <w:rtl w:val="0"/>
        </w:rPr>
        <w:t xml:space="preserve">CLAUDIO JAVIER POGGI</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b w:val="1"/>
          <w:bCs w:val="1"/>
          <w:color w:val="0a0a0a"/>
          <w:sz w:val="24"/>
          <w:szCs w:val="24"/>
        </w:rPr>
      </w:pPr>
      <w:r w:rsidDel="00000000" w:rsidR="00000000" w:rsidRPr="00000000">
        <w:rPr>
          <w:b w:val="1"/>
          <w:bCs w:val="1"/>
          <w:color w:val="0a0a0a"/>
          <w:sz w:val="24"/>
          <w:szCs w:val="24"/>
          <w:rtl w:val="0"/>
        </w:rPr>
        <w:t xml:space="preserve">María Eugenia Sosa Herrera</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b w:val="1"/>
          <w:bCs w:val="1"/>
          <w:color w:val="0a0a0a"/>
          <w:sz w:val="24"/>
          <w:szCs w:val="24"/>
        </w:rPr>
      </w:pPr>
      <w:r w:rsidDel="00000000" w:rsidR="00000000" w:rsidRPr="00000000">
        <w:rPr>
          <w:b w:val="1"/>
          <w:bCs w:val="1"/>
          <w:color w:val="0a0a0a"/>
          <w:sz w:val="24"/>
          <w:szCs w:val="24"/>
          <w:rtl w:val="0"/>
        </w:rPr>
        <w:t xml:space="preserve">Romina Andrea Carbonell</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b w:val="1"/>
          <w:bCs w:val="1"/>
          <w:color w:val="0a0a0a"/>
          <w:sz w:val="24"/>
          <w:szCs w:val="24"/>
        </w:rPr>
      </w:pPr>
      <w:r w:rsidDel="00000000" w:rsidR="00000000" w:rsidRPr="00000000">
        <w:rPr>
          <w:b w:val="1"/>
          <w:bCs w:val="1"/>
          <w:color w:val="0a0a0a"/>
          <w:sz w:val="24"/>
          <w:szCs w:val="24"/>
          <w:rtl w:val="0"/>
        </w:rPr>
        <w:t xml:space="preserve">Gonzalo Federico Amondarain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b w:val="1"/>
          <w:bCs w:val="1"/>
          <w:color w:val="0a0a0a"/>
          <w:sz w:val="24"/>
          <w:szCs w:val="24"/>
        </w:rPr>
      </w:pPr>
      <w:r w:rsidDel="00000000" w:rsidR="00000000" w:rsidRPr="00000000">
        <w:rPr>
          <w:b w:val="1"/>
          <w:bCs w:val="1"/>
          <w:color w:val="0a0a0a"/>
          <w:sz w:val="24"/>
          <w:szCs w:val="24"/>
          <w:rtl w:val="0"/>
        </w:rPr>
        <w:t xml:space="preserve">Lucia Teresa Nigra</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b w:val="1"/>
          <w:bCs w:val="1"/>
          <w:color w:val="0a0a0a"/>
          <w:sz w:val="24"/>
          <w:szCs w:val="24"/>
        </w:rPr>
      </w:pPr>
      <w:r w:rsidDel="00000000" w:rsidR="00000000" w:rsidRPr="00000000">
        <w:rPr>
          <w:b w:val="1"/>
          <w:bCs w:val="1"/>
          <w:color w:val="0a0a0a"/>
          <w:sz w:val="24"/>
          <w:szCs w:val="24"/>
          <w:rtl w:val="0"/>
        </w:rPr>
        <w:t xml:space="preserve">Guillermo Fabián Araujo</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b w:val="1"/>
          <w:bCs w:val="1"/>
          <w:color w:val="0a0a0a"/>
          <w:sz w:val="24"/>
          <w:szCs w:val="24"/>
        </w:rPr>
      </w:pPr>
      <w:r w:rsidDel="00000000" w:rsidR="00000000" w:rsidRPr="00000000">
        <w:rPr>
          <w:b w:val="1"/>
          <w:bCs w:val="1"/>
          <w:color w:val="0a0a0a"/>
          <w:sz w:val="24"/>
          <w:szCs w:val="24"/>
          <w:rtl w:val="0"/>
        </w:rPr>
        <w:t xml:space="preserve">Federico Alberto Trombotto</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b w:val="1"/>
          <w:bCs w:val="1"/>
          <w:color w:val="0a0a0a"/>
          <w:sz w:val="24"/>
          <w:szCs w:val="24"/>
        </w:rPr>
      </w:pPr>
      <w:r w:rsidDel="00000000" w:rsidR="00000000" w:rsidRPr="00000000">
        <w:rPr>
          <w:b w:val="1"/>
          <w:bCs w:val="1"/>
          <w:color w:val="0a0a0a"/>
          <w:sz w:val="24"/>
          <w:szCs w:val="24"/>
          <w:rtl w:val="0"/>
        </w:rPr>
        <w:t xml:space="preserve">Gustavo Antonio Bertolini</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b w:val="1"/>
          <w:bCs w:val="1"/>
          <w:color w:val="0a0a0a"/>
          <w:sz w:val="24"/>
          <w:szCs w:val="24"/>
        </w:rPr>
      </w:pPr>
      <w:r w:rsidDel="00000000" w:rsidR="00000000" w:rsidRPr="00000000">
        <w:rPr>
          <w:b w:val="1"/>
          <w:bCs w:val="1"/>
          <w:color w:val="0a0a0a"/>
          <w:sz w:val="24"/>
          <w:szCs w:val="24"/>
          <w:rtl w:val="0"/>
        </w:rPr>
        <w:t xml:space="preserve">Nancy Verónica Sosa</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affff" w:val="clear"/>
        <w:ind w:left="160" w:firstLine="240"/>
        <w:jc w:val="both"/>
        <w:rPr>
          <w:b w:val="1"/>
          <w:bCs w:val="1"/>
          <w:color w:val="0a0a0a"/>
          <w:sz w:val="24"/>
          <w:szCs w:val="24"/>
        </w:rPr>
      </w:pPr>
      <w:r w:rsidDel="00000000" w:rsidR="00000000" w:rsidRPr="00000000">
        <w:rPr>
          <w:b w:val="1"/>
          <w:bCs w:val="1"/>
          <w:color w:val="0a0a0a"/>
          <w:sz w:val="24"/>
          <w:szCs w:val="24"/>
          <w:rtl w:val="0"/>
        </w:rPr>
        <w:t xml:space="preserve">Juan Jose Alvarez Pinto</w:t>
      </w:r>
    </w:p>
    <w:p w:rsidR="00000000" w:rsidDel="00000000" w:rsidP="00000000" w:rsidRDefault="00000000" w:rsidRPr="00000000" w14:paraId="000001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affff" w:val="clear"/>
    </w:tcPr>
  </w:style>
  <w:style w:type="table" w:styleId="Table2">
    <w:basedOn w:val="TableNormal"/>
    <w:tblPr>
      <w:tblStyleRowBandSize w:val="1"/>
      <w:tblStyleColBandSize w:val="1"/>
      <w:tblCellMar/>
    </w:tblPr>
    <w:tcPr>
      <w:shd w:fill="faffff" w:val="clear"/>
    </w:tcPr>
  </w:style>
  <w:style w:type="table" w:styleId="Table3">
    <w:basedOn w:val="TableNormal"/>
    <w:tblPr>
      <w:tblStyleRowBandSize w:val="1"/>
      <w:tblStyleColBandSize w:val="1"/>
      <w:tblCellMar/>
    </w:tblPr>
    <w:tcPr>
      <w:shd w:fill="faffff" w:val="clear"/>
    </w:tcPr>
  </w:style>
  <w:style w:type="table" w:styleId="Table4">
    <w:basedOn w:val="TableNormal"/>
    <w:tblPr>
      <w:tblStyleRowBandSize w:val="1"/>
      <w:tblStyleColBandSize w:val="1"/>
      <w:tblCellMar/>
    </w:tblPr>
    <w:tcPr>
      <w:shd w:fill="fa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