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f6b8aac3263810ae97a356a7632bebdbcc2229"/>
    <w:p>
      <w:pPr>
        <w:pStyle w:val="Heading1"/>
      </w:pPr>
      <w:r>
        <w:t xml:space="preserve">Curación distribuida de modelos LLM gratuitos: arquitectura y evaluación empírica de un tejido de inferencia de coste cero para la democratización de la IA</w:t>
      </w:r>
    </w:p>
    <w:p>
      <w:pPr>
        <w:pStyle w:val="FirstParagraph"/>
      </w:pPr>
      <w:r>
        <w:rPr>
          <w:b/>
          <w:bCs/>
        </w:rPr>
        <w:t xml:space="preserve">Gonzalo Monzón</w:t>
      </w:r>
      <w:r>
        <w:t xml:space="preserve"> </w:t>
      </w:r>
      <w:r>
        <w:t xml:space="preserve">Proyecto LUMEN (Cadences Lab)</w:t>
      </w:r>
      <w:r>
        <w:t xml:space="preserve"> </w:t>
      </w:r>
      <w:r>
        <w:rPr>
          <w:rStyle w:val="VerbatimChar"/>
        </w:rPr>
        <w:t xml:space="preserve">gonzalo@cadenceslab.com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Resumen</w:t>
      </w:r>
    </w:p>
    <w:p>
      <w:pPr>
        <w:pStyle w:val="BlockText"/>
      </w:pPr>
      <w:r>
        <w:t xml:space="preserve">El acceso a modelos de lenguaje de gran escala está mediado por costes de API y por la</w:t>
      </w:r>
      <w:r>
        <w:t xml:space="preserve"> </w:t>
      </w:r>
      <w:r>
        <w:t xml:space="preserve">dependencia de un reducido número de proveedores, lo que limita su uso por parte de</w:t>
      </w:r>
      <w:r>
        <w:t xml:space="preserve"> </w:t>
      </w:r>
      <w:r>
        <w:t xml:space="preserve">colectivos con presupuesto cero. Las capas gratuitas (</w:t>
      </w:r>
      <w:r>
        <w:rPr>
          <w:i/>
          <w:iCs/>
        </w:rPr>
        <w:t xml:space="preserve">free tiers</w:t>
      </w:r>
      <w:r>
        <w:t xml:space="preserve">) de agregadores como</w:t>
      </w:r>
      <w:r>
        <w:t xml:space="preserve"> </w:t>
      </w:r>
      <w:r>
        <w:t xml:space="preserve">OpenRouter ofrecen una alternativa, pero su catálogo es volátil —modelos que aparecen,</w:t>
      </w:r>
      <w:r>
        <w:t xml:space="preserve"> </w:t>
      </w:r>
      <w:r>
        <w:t xml:space="preserve">se retiran o degradan sin aviso— y carecen de garantías de servicio, lo que hace inviable</w:t>
      </w:r>
      <w:r>
        <w:t xml:space="preserve"> </w:t>
      </w:r>
      <w:r>
        <w:t xml:space="preserve">su uso directo en sistemas autónomos. Presentamos la arquitectura y la evaluación empírica</w:t>
      </w:r>
      <w:r>
        <w:t xml:space="preserve"> </w:t>
      </w:r>
      <w:r>
        <w:t xml:space="preserve">de un</w:t>
      </w:r>
      <w:r>
        <w:t xml:space="preserve"> </w:t>
      </w:r>
      <w:r>
        <w:rPr>
          <w:b/>
          <w:bCs/>
        </w:rPr>
        <w:t xml:space="preserve">tejido de inferencia de coste cero</w:t>
      </w:r>
      <w:r>
        <w:t xml:space="preserve">: un conjunto de nodos heterogéneos (dos</w:t>
      </w:r>
      <w:r>
        <w:t xml:space="preserve"> </w:t>
      </w:r>
      <w:r>
        <w:t xml:space="preserve">servidores NAS ARM, un PC, una instancia de máquina virtual propia) que consumen una</w:t>
      </w:r>
      <w:r>
        <w:t xml:space="preserve"> </w:t>
      </w:r>
      <w:r>
        <w:rPr>
          <w:b/>
          <w:bCs/>
        </w:rPr>
        <w:t xml:space="preserve">cadena de modelos gratuitos auto-curada</w:t>
      </w:r>
      <w:r>
        <w:t xml:space="preserve">, mantenida por (i) un agente diario de</w:t>
      </w:r>
      <w:r>
        <w:t xml:space="preserve"> </w:t>
      </w:r>
      <w:r>
        <w:t xml:space="preserve">investigación web que descubre candidatos, (ii) un curador que prueba cada candidato con</w:t>
      </w:r>
      <w:r>
        <w:t xml:space="preserve"> </w:t>
      </w:r>
      <w:r>
        <w:t xml:space="preserve">una batería ligera de tres sondas (vivacidad, rigor aritmético con restricción de formato,</w:t>
      </w:r>
      <w:r>
        <w:t xml:space="preserve"> </w:t>
      </w:r>
      <w:r>
        <w:t xml:space="preserve">estilo con límite de longitud) y publica la cadena ordenada por puntuación, y (iii) las</w:t>
      </w:r>
      <w:r>
        <w:t xml:space="preserve"> </w:t>
      </w:r>
      <w:r>
        <w:t xml:space="preserve">propias fuentes, que</w:t>
      </w:r>
      <w:r>
        <w:t xml:space="preserve"> </w:t>
      </w:r>
      <w:r>
        <w:rPr>
          <w:b/>
          <w:bCs/>
        </w:rPr>
        <w:t xml:space="preserve">re-validan la cadena escalonadas a lo largo del día</w:t>
      </w:r>
      <w:r>
        <w:t xml:space="preserve"> </w:t>
      </w:r>
      <w:r>
        <w:t xml:space="preserve">y emiten</w:t>
      </w:r>
      <w:r>
        <w:t xml:space="preserve"> </w:t>
      </w:r>
      <w:r>
        <w:t xml:space="preserve">opiniones firmadas a un registro central. Sobre una ventana de observación continua de</w:t>
      </w:r>
      <w:r>
        <w:t xml:space="preserve"> </w:t>
      </w:r>
      <w:r>
        <w:t xml:space="preserve">~15,5 horas recogimos</w:t>
      </w:r>
      <w:r>
        <w:t xml:space="preserve"> </w:t>
      </w:r>
      <w:r>
        <w:rPr>
          <w:b/>
          <w:bCs/>
        </w:rPr>
        <w:t xml:space="preserve">87 validaciones independientes</w:t>
      </w:r>
      <w:r>
        <w:t xml:space="preserve"> </w:t>
      </w:r>
      <w:r>
        <w:t xml:space="preserve">sobre 14 modelos con latencias</w:t>
      </w:r>
      <w:r>
        <w:t xml:space="preserve"> </w:t>
      </w:r>
      <w:r>
        <w:t xml:space="preserve">reales por fuente. Los resultados muestran que (1) es posible sostener un servicio de</w:t>
      </w:r>
      <w:r>
        <w:t xml:space="preserve"> </w:t>
      </w:r>
      <w:r>
        <w:t xml:space="preserve">inferencia multi-nodo a</w:t>
      </w:r>
      <w:r>
        <w:t xml:space="preserve"> </w:t>
      </w:r>
      <w:r>
        <w:rPr>
          <w:b/>
          <w:bCs/>
        </w:rPr>
        <w:t xml:space="preserve">coste $0 ininterrumpidamente y sin intervención humana</w:t>
      </w:r>
      <w:r>
        <w:t xml:space="preserve">;</w:t>
      </w:r>
      <w:r>
        <w:t xml:space="preserve"> </w:t>
      </w:r>
      <w:r>
        <w:t xml:space="preserve">(2) la validación multi-fuente revela</w:t>
      </w:r>
      <w:r>
        <w:t xml:space="preserve"> </w:t>
      </w:r>
      <w:r>
        <w:rPr>
          <w:i/>
          <w:iCs/>
        </w:rPr>
        <w:t xml:space="preserve">flakiness</w:t>
      </w:r>
      <w:r>
        <w:t xml:space="preserve"> </w:t>
      </w:r>
      <w:r>
        <w:t xml:space="preserve">que una única fuente no ve —la latencia</w:t>
      </w:r>
      <w:r>
        <w:t xml:space="preserve"> </w:t>
      </w:r>
      <w:r>
        <w:t xml:space="preserve">del mismo modelo varió 28× (0,9 s–26,2 s) entre fuentes/franjas, y modelos que pasan en</w:t>
      </w:r>
      <w:r>
        <w:t xml:space="preserve"> </w:t>
      </w:r>
      <w:r>
        <w:t xml:space="preserve">una ventana fallan en otra—; y (3) el desacuerdo entre fuentes es una señal utilizable</w:t>
      </w:r>
      <w:r>
        <w:t xml:space="preserve"> </w:t>
      </w:r>
      <w:r>
        <w:t xml:space="preserve">para retirar modelos inestables. Discutimos las implicaciones para infraestructuras de IA</w:t>
      </w:r>
      <w:r>
        <w:t xml:space="preserve"> </w:t>
      </w:r>
      <w:r>
        <w:t xml:space="preserve">soberanas, los límites del estudio, y la extensión del diseño a una red voluntaria tipo</w:t>
      </w:r>
      <w:r>
        <w:t xml:space="preserve"> </w:t>
      </w:r>
      <w:r>
        <w:t xml:space="preserve">SETI@home (Lumen@Home) con transporte por radio de bajo ancho de banda (Reticulum/LoRa).</w:t>
      </w:r>
    </w:p>
    <w:p>
      <w:pPr>
        <w:pStyle w:val="Block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modelos de lenguaje, capas gratuitas, curación automática,</w:t>
      </w:r>
      <w:r>
        <w:t xml:space="preserve"> </w:t>
      </w:r>
      <w:r>
        <w:t xml:space="preserve">validación distribuida, computación voluntaria, democratización de la IA, radio mesh.</w:t>
      </w:r>
    </w:p>
    <w:p>
      <w:r>
        <w:pict>
          <v:rect style="width:0;height:1.5pt" o:hralign="center" o:hrstd="t" o:hr="t"/>
        </w:pict>
      </w:r>
    </w:p>
    <w:bookmarkStart w:id="1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Los grandes modelos de lenguaje (LLM) se han convertido en infraestructura de propósito</w:t>
      </w:r>
      <w:r>
        <w:t xml:space="preserve"> </w:t>
      </w:r>
      <w:r>
        <w:t xml:space="preserve">general, pero su acceso describe una curva de desigualdad: capacidades de frontera al</w:t>
      </w:r>
      <w:r>
        <w:t xml:space="preserve"> </w:t>
      </w:r>
      <w:r>
        <w:t xml:space="preserve">alcance de quien puede pagar por token, y millones de usuarios potenciales —escuelas</w:t>
      </w:r>
      <w:r>
        <w:t xml:space="preserve"> </w:t>
      </w:r>
      <w:r>
        <w:t xml:space="preserve">rurales, bibliotecas comunitarias, ONG, investigadores sin financiación, colectivos</w:t>
      </w:r>
      <w:r>
        <w:t xml:space="preserve"> </w:t>
      </w:r>
      <w:r>
        <w:t xml:space="preserve">culturales— al margen. La barrera no es solo económica: es también de</w:t>
      </w:r>
      <w:r>
        <w:t xml:space="preserve"> </w:t>
      </w:r>
      <w:r>
        <w:rPr>
          <w:b/>
          <w:bCs/>
        </w:rPr>
        <w:t xml:space="preserve">dependencia</w:t>
      </w:r>
      <w:r>
        <w:t xml:space="preserve">,</w:t>
      </w:r>
      <w:r>
        <w:t xml:space="preserve"> </w:t>
      </w:r>
      <w:r>
        <w:t xml:space="preserve">porque operar sobre un único proveedor implica aceptar sus precios, sus políticas y su</w:t>
      </w:r>
      <w:r>
        <w:t xml:space="preserve"> </w:t>
      </w:r>
      <w:r>
        <w:t xml:space="preserve">disponibilidad.</w:t>
      </w:r>
    </w:p>
    <w:p>
      <w:pPr>
        <w:pStyle w:val="BodyText"/>
      </w:pPr>
      <w:r>
        <w:t xml:space="preserve">Una vía intermedia existe: los</w:t>
      </w:r>
      <w:r>
        <w:t xml:space="preserve"> </w:t>
      </w:r>
      <w:r>
        <w:rPr>
          <w:b/>
          <w:bCs/>
        </w:rPr>
        <w:t xml:space="preserve">catálogos gratuitos</w:t>
      </w:r>
      <w:r>
        <w:t xml:space="preserve"> </w:t>
      </w:r>
      <w:r>
        <w:t xml:space="preserve">de agregadores como OpenRouter</w:t>
      </w:r>
      <w:r>
        <w:rPr>
          <w:rStyle w:val="FootnoteReference"/>
        </w:rPr>
        <w:footnoteReference w:id="9"/>
      </w:r>
      <w:r>
        <w:t xml:space="preserve"> </w:t>
      </w:r>
      <w:r>
        <w:t xml:space="preserve">publican modelos con precio cero promocional o permanente. Su atractivo es evidente</w:t>
      </w:r>
      <w:r>
        <w:t xml:space="preserve"> </w:t>
      </w:r>
      <w:r>
        <w:t xml:space="preserve">—potencia de frontera reciente a coste nulo— y sus problemas también: el catálogo rota sin</w:t>
      </w:r>
      <w:r>
        <w:t xml:space="preserve"> </w:t>
      </w:r>
      <w:r>
        <w:t xml:space="preserve">aviso, los modelos se retiran (</w:t>
      </w:r>
      <w:r>
        <w:rPr>
          <w:rStyle w:val="VerbatimChar"/>
        </w:rPr>
        <w:t xml:space="preserve">minimax/minimax-m3:free</w:t>
      </w:r>
      <w:r>
        <w:t xml:space="preserve">, retirado el 10-sep-2026, fue</w:t>
      </w:r>
      <w:r>
        <w:t xml:space="preserve"> </w:t>
      </w:r>
      <w:r>
        <w:t xml:space="preserve">observado en nuestro sistema), el rendimiento fluctúa hora a hora, y</w:t>
      </w:r>
      <w:r>
        <w:t xml:space="preserve"> </w:t>
      </w:r>
      <w:r>
        <w:rPr>
          <w:b/>
          <w:bCs/>
        </w:rPr>
        <w:t xml:space="preserve">nadie garantiza</w:t>
      </w:r>
      <w:r>
        <w:rPr>
          <w:b/>
          <w:bCs/>
        </w:rPr>
        <w:t xml:space="preserve"> </w:t>
      </w:r>
      <w:r>
        <w:rPr>
          <w:b/>
          <w:bCs/>
        </w:rPr>
        <w:t xml:space="preserve">nada</w:t>
      </w:r>
      <w:r>
        <w:t xml:space="preserve">: no hay SLA, ni estado publicado, ni histórico.</w:t>
      </w:r>
    </w:p>
    <w:p>
      <w:pPr>
        <w:pStyle w:val="BodyText"/>
      </w:pPr>
      <w:r>
        <w:t xml:space="preserve">Este artículo presenta la arquitectura y las mediciones de un sistema que convierte ese</w:t>
      </w:r>
      <w:r>
        <w:t xml:space="preserve"> </w:t>
      </w:r>
      <w:r>
        <w:t xml:space="preserve">catálogo volátil en un</w:t>
      </w:r>
      <w:r>
        <w:t xml:space="preserve"> </w:t>
      </w:r>
      <w:r>
        <w:rPr>
          <w:b/>
          <w:bCs/>
        </w:rPr>
        <w:t xml:space="preserve">servicio estable a coste cero</w:t>
      </w:r>
      <w:r>
        <w:t xml:space="preserve"> </w:t>
      </w:r>
      <w:r>
        <w:t xml:space="preserve">mediante dos ideas sencillas: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Curación automática con guardas</w:t>
      </w:r>
      <w:r>
        <w:t xml:space="preserve">: un agente descubre, un curador prueba y publica,</w:t>
      </w:r>
      <w:r>
        <w:t xml:space="preserve"> </w:t>
      </w:r>
      <w:r>
        <w:t xml:space="preserve">y solo entra en producción lo que pasa una batería de sondas — jamás cadenas de menos</w:t>
      </w:r>
      <w:r>
        <w:t xml:space="preserve"> </w:t>
      </w:r>
      <w:r>
        <w:t xml:space="preserve">de tres modelos, jamás escrituras sin verificación.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distribuida multi-fuente</w:t>
      </w:r>
      <w:r>
        <w:t xml:space="preserve">: los propios consumidores de la cadena</w:t>
      </w:r>
      <w:r>
        <w:t xml:space="preserve"> </w:t>
      </w:r>
      <w:r>
        <w:t xml:space="preserve">(nodos de cómputo heterogéneos) la</w:t>
      </w:r>
      <w:r>
        <w:t xml:space="preserve"> </w:t>
      </w:r>
      <w:r>
        <w:rPr>
          <w:b/>
          <w:bCs/>
        </w:rPr>
        <w:t xml:space="preserve">re-validan en ventanas horarias distintas</w:t>
      </w:r>
      <w:r>
        <w:t xml:space="preserve"> </w:t>
      </w:r>
      <w:r>
        <w:t xml:space="preserve">y</w:t>
      </w:r>
      <w:r>
        <w:t xml:space="preserve"> </w:t>
      </w:r>
      <w:r>
        <w:t xml:space="preserve">emiten opiniones firmadas a un registro central. La fiabilidad deja de ser una promesa</w:t>
      </w:r>
      <w:r>
        <w:t xml:space="preserve"> </w:t>
      </w:r>
      <w:r>
        <w:t xml:space="preserve">del proveedor y pasa a ser una</w:t>
      </w:r>
      <w:r>
        <w:t xml:space="preserve"> </w:t>
      </w:r>
      <w:r>
        <w:rPr>
          <w:b/>
          <w:bCs/>
        </w:rPr>
        <w:t xml:space="preserve">medición continua de la comunidad de nodos</w:t>
      </w:r>
      <w:r>
        <w:t xml:space="preserve">.</w:t>
      </w:r>
    </w:p>
    <w:p>
      <w:pPr>
        <w:pStyle w:val="FirstParagraph"/>
      </w:pPr>
      <w:r>
        <w:t xml:space="preserve">Nuestra contribución es: (a) la arquitectura completa y desplegada, (b) un protocolo de</w:t>
      </w:r>
      <w:r>
        <w:t xml:space="preserve"> </w:t>
      </w:r>
      <w:r>
        <w:t xml:space="preserve">validación ligero y replicable, (c) un conjunto de observaciones reales en ventana continua</w:t>
      </w:r>
      <w:r>
        <w:t xml:space="preserve"> </w:t>
      </w:r>
      <w:r>
        <w:t xml:space="preserve">que cuantifica la volatilidad del</w:t>
      </w:r>
      <w:r>
        <w:t xml:space="preserve"> </w:t>
      </w:r>
      <w:r>
        <w:rPr>
          <w:i/>
          <w:iCs/>
        </w:rPr>
        <w:t xml:space="preserve">free tier</w:t>
      </w:r>
      <w:r>
        <w:t xml:space="preserve"> </w:t>
      </w:r>
      <w:r>
        <w:t xml:space="preserve">y el valor de medir desde múltiples puntos, y</w:t>
      </w:r>
      <w:r>
        <w:t xml:space="preserve"> </w:t>
      </w:r>
      <w:r>
        <w:t xml:space="preserve">(d) el diseño de extensión hacia una red voluntaria (Lumen@Home) transportable por radio.</w:t>
      </w:r>
    </w:p>
    <w:bookmarkEnd w:id="10"/>
    <w:bookmarkStart w:id="15" w:name="trabajo-relacionado"/>
    <w:p>
      <w:pPr>
        <w:pStyle w:val="Heading2"/>
      </w:pPr>
      <w:r>
        <w:t xml:space="preserve">2. Trabajo relacionado</w:t>
      </w:r>
    </w:p>
    <w:p>
      <w:pPr>
        <w:pStyle w:val="FirstParagraph"/>
      </w:pPr>
      <w:r>
        <w:rPr>
          <w:b/>
          <w:bCs/>
        </w:rPr>
        <w:t xml:space="preserve">Computación voluntaria.</w:t>
      </w:r>
      <w:r>
        <w:t xml:space="preserve"> </w:t>
      </w:r>
      <w:r>
        <w:t xml:space="preserve">SETI@home (1999–2020) demostró que millones de voluntarios</w:t>
      </w:r>
      <w:r>
        <w:t xml:space="preserve"> </w:t>
      </w:r>
      <w:r>
        <w:t xml:space="preserve">donan ciclos ociosos cuando la participación es trivial: 5,2 millones de participantes y</w:t>
      </w:r>
      <w:r>
        <w:t xml:space="preserve"> </w:t>
      </w:r>
      <w:r>
        <w:t xml:space="preserve">12.000 millones de detecciones</w:t>
      </w:r>
      <w:r>
        <w:rPr>
          <w:rStyle w:val="FootnoteReference"/>
        </w:rPr>
        <w:footnoteReference w:id="11"/>
      </w:r>
      <w:r>
        <w:t xml:space="preserve">. BOINC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continúa operando ~30 proyectos de ciencia</w:t>
      </w:r>
      <w:r>
        <w:t xml:space="preserve"> </w:t>
      </w:r>
      <w:r>
        <w:t xml:space="preserve">con el mismo modelo: unidades de trabajo pequeñas, cliente invisible, créditos visibles.</w:t>
      </w:r>
      <w:r>
        <w:t xml:space="preserve"> </w:t>
      </w:r>
      <w:r>
        <w:t xml:space="preserve">Nuestro diseño de Lumen@Home (§7) traslada ese patrón desde el cómputo numérico hacia la</w:t>
      </w:r>
      <w:r>
        <w:t xml:space="preserve"> </w:t>
      </w:r>
      <w:r>
        <w:rPr>
          <w:b/>
          <w:bCs/>
        </w:rPr>
        <w:t xml:space="preserve">validación y el procesamiento de conocimiento</w:t>
      </w:r>
      <w:r>
        <w:t xml:space="preserve"> </w:t>
      </w:r>
      <w:r>
        <w:t xml:space="preserve">con nodos LLM.</w:t>
      </w:r>
    </w:p>
    <w:p>
      <w:pPr>
        <w:pStyle w:val="BodyText"/>
      </w:pPr>
      <w:r>
        <w:rPr>
          <w:b/>
          <w:bCs/>
        </w:rPr>
        <w:t xml:space="preserve">Enrutado y cascadas de modelos.</w:t>
      </w:r>
      <w:r>
        <w:t xml:space="preserve"> </w:t>
      </w:r>
      <w:r>
        <w:t xml:space="preserve">La literatura de</w:t>
      </w:r>
      <w:r>
        <w:t xml:space="preserve"> </w:t>
      </w:r>
      <w:r>
        <w:rPr>
          <w:i/>
          <w:iCs/>
        </w:rPr>
        <w:t xml:space="preserve">frugal AI</w:t>
      </w:r>
      <w:r>
        <w:t xml:space="preserve"> </w:t>
      </w:r>
      <w:r>
        <w:t xml:space="preserve">propone cascadas</w:t>
      </w:r>
      <w:r>
        <w:t xml:space="preserve"> </w:t>
      </w:r>
      <w:r>
        <w:t xml:space="preserve">(modelo barato → modelo caro) y enrutadores aprendidos para reducir coste por consulta.</w:t>
      </w:r>
      <w:r>
        <w:t xml:space="preserve"> </w:t>
      </w:r>
      <w:r>
        <w:t xml:space="preserve">Nuestro sistema comparte el principio de cascada, pero invierte el objeto de optimización:</w:t>
      </w:r>
      <w:r>
        <w:t xml:space="preserve"> </w:t>
      </w:r>
      <w:r>
        <w:t xml:space="preserve">no buscamos minimizar el coste de un servicio con presupuesto, sino</w:t>
      </w:r>
      <w:r>
        <w:t xml:space="preserve"> </w:t>
      </w:r>
      <w:r>
        <w:rPr>
          <w:b/>
          <w:bCs/>
        </w:rPr>
        <w:t xml:space="preserve">sostener el servicio</w:t>
      </w:r>
      <w:r>
        <w:rPr>
          <w:b/>
          <w:bCs/>
        </w:rPr>
        <w:t xml:space="preserve"> </w:t>
      </w:r>
      <w:r>
        <w:rPr>
          <w:b/>
          <w:bCs/>
        </w:rPr>
        <w:t xml:space="preserve">con presupuesto cero</w:t>
      </w:r>
      <w:r>
        <w:t xml:space="preserve">, lo que exige mecanismos de descubrimiento y reparación continuos</w:t>
      </w:r>
      <w:r>
        <w:t xml:space="preserve"> </w:t>
      </w:r>
      <w:r>
        <w:t xml:space="preserve">que las cascadas estáticas no contemplan.</w:t>
      </w:r>
    </w:p>
    <w:p>
      <w:pPr>
        <w:pStyle w:val="BodyText"/>
      </w:pPr>
      <w:r>
        <w:rPr>
          <w:b/>
          <w:bCs/>
        </w:rPr>
        <w:t xml:space="preserve">Redes tolerantes y mesh por radio.</w:t>
      </w:r>
      <w:r>
        <w:t xml:space="preserve"> </w:t>
      </w:r>
      <w:r>
        <w:t xml:space="preserve">Reticulum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proporciona un stack de red cifrado</w:t>
      </w:r>
      <w:r>
        <w:t xml:space="preserve"> </w:t>
      </w:r>
      <w:r>
        <w:t xml:space="preserve">extremo a extremo diseñado para operar sobre medios de muy bajo ancho de banda (LoRa,</w:t>
      </w:r>
      <w:r>
        <w:t xml:space="preserve"> </w:t>
      </w:r>
      <w:r>
        <w:t xml:space="preserve">packet radio, HF), y Meshtastic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ofrece mallas LoRa de bajo consumo con presets que van</w:t>
      </w:r>
      <w:r>
        <w:t xml:space="preserve"> </w:t>
      </w:r>
      <w:r>
        <w:t xml:space="preserve">de ~0,2 a ~20 kbps. Ambos son los candidatos naturales para el transporte de coordinación</w:t>
      </w:r>
      <w:r>
        <w:t xml:space="preserve"> </w:t>
      </w:r>
      <w:r>
        <w:t xml:space="preserve">de una red LUMEN off-grid (§7), dado que las unidades de trabajo de nuestro protocolo son</w:t>
      </w:r>
      <w:r>
        <w:t xml:space="preserve"> </w:t>
      </w:r>
      <w:r>
        <w:t xml:space="preserve">texto de bytes.</w:t>
      </w:r>
    </w:p>
    <w:bookmarkEnd w:id="15"/>
    <w:bookmarkStart w:id="17" w:name="arquitectura-del-sistema"/>
    <w:p>
      <w:pPr>
        <w:pStyle w:val="Heading2"/>
      </w:pPr>
      <w:r>
        <w:t xml:space="preserve">3. Arquitectura del sistema</w:t>
      </w:r>
    </w:p>
    <w:p>
      <w:pPr>
        <w:pStyle w:val="FirstParagraph"/>
      </w:pPr>
      <w:r>
        <w:t xml:space="preserve">El sistema (desplegado, en producción durante el periodo de estudio)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consta 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Nodos</w:t>
            </w:r>
          </w:p>
        </w:tc>
        <w:tc>
          <w:tcPr/>
          <w:p>
            <w:pPr>
              <w:pStyle w:val="Compact"/>
            </w:pPr>
            <w:r>
              <w:t xml:space="preserve">Ejecutan cargas M y llamadas LLM; 4 fuentes activas en el estudio</w:t>
            </w:r>
          </w:p>
        </w:tc>
        <w:tc>
          <w:tcPr/>
          <w:p>
            <w:pPr>
              <w:pStyle w:val="Compact"/>
            </w:pPr>
            <w:r>
              <w:t xml:space="preserve">NAS ARM (×2, roles distintos), PC de escritorio, instancia MVM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Cadena</w:t>
            </w:r>
          </w:p>
        </w:tc>
        <w:tc>
          <w:tcPr/>
          <w:p>
            <w:pPr>
              <w:pStyle w:val="Compact"/>
            </w:pPr>
            <w:r>
              <w:t xml:space="preserve">Lista ordenada de modelos free usada como cascada de fallback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^LLMFREE</w:t>
            </w:r>
            <w:r>
              <w:t xml:space="preserve"> </w:t>
            </w:r>
            <w:r>
              <w:t xml:space="preserve">en la base de datos embebida de cada nodo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central</w:t>
            </w:r>
          </w:p>
        </w:tc>
        <w:tc>
          <w:tcPr/>
          <w:p>
            <w:pPr>
              <w:pStyle w:val="Compact"/>
            </w:pPr>
            <w:r>
              <w:t xml:space="preserve">API pública de lectura + ingesta de opiniones firmadas</w:t>
            </w:r>
          </w:p>
        </w:tc>
        <w:tc>
          <w:tcPr/>
          <w:p>
            <w:pPr>
              <w:pStyle w:val="Compact"/>
            </w:pPr>
            <w:r>
              <w:t xml:space="preserve">Cloudflare Pages Functions + KV (</w:t>
            </w:r>
            <w:r>
              <w:rPr>
                <w:rStyle w:val="VerbatimChar"/>
              </w:rPr>
              <w:t xml:space="preserve">cadences.app/api/llmfree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Descubridor</w:t>
            </w:r>
          </w:p>
        </w:tc>
        <w:tc>
          <w:tcPr/>
          <w:p>
            <w:pPr>
              <w:pStyle w:val="Compact"/>
            </w:pPr>
            <w:r>
              <w:t xml:space="preserve">Agente diario que investiga en la web nuevos modelos gratis y deja candidatos</w:t>
            </w:r>
          </w:p>
        </w:tc>
        <w:tc>
          <w:tcPr/>
          <w:p>
            <w:pPr>
              <w:pStyle w:val="Compact"/>
            </w:pPr>
            <w:r>
              <w:t xml:space="preserve">Cron 06:30; escribe candidatos estructurados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Curador</w:t>
            </w:r>
          </w:p>
        </w:tc>
        <w:tc>
          <w:tcPr/>
          <w:p>
            <w:pPr>
              <w:pStyle w:val="Compact"/>
            </w:pPr>
            <w:r>
              <w:t xml:space="preserve">Prueba candidatos + catálogo, puntúa, decide y publica</w:t>
            </w:r>
          </w:p>
        </w:tc>
        <w:tc>
          <w:tcPr/>
          <w:p>
            <w:pPr>
              <w:pStyle w:val="Compact"/>
            </w:pPr>
            <w:r>
              <w:t xml:space="preserve">Cron 07:00; única autoridad que fija la cadena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validadoras</w:t>
            </w:r>
          </w:p>
        </w:tc>
        <w:tc>
          <w:tcPr/>
          <w:p>
            <w:pPr>
              <w:pStyle w:val="Compact"/>
            </w:pPr>
            <w:r>
              <w:t xml:space="preserve">Re-prueban la cadena vigente y opinan</w:t>
            </w:r>
          </w:p>
        </w:tc>
        <w:tc>
          <w:tcPr/>
          <w:p>
            <w:pPr>
              <w:pStyle w:val="Compact"/>
            </w:pPr>
            <w:r>
              <w:t xml:space="preserve">Nodos cada 12 h; PC 15:00; instancia MVM 21:00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Puerta (gateway)</w:t>
            </w:r>
          </w:p>
        </w:tc>
        <w:tc>
          <w:tcPr/>
          <w:p>
            <w:pPr>
              <w:pStyle w:val="Compact"/>
            </w:pPr>
            <w:r>
              <w:t xml:space="preserve">Sirve la cadena a las aplicaciones consumidoras leyendo el registro</w:t>
            </w:r>
          </w:p>
        </w:tc>
        <w:tc>
          <w:tcPr/>
          <w:p>
            <w:pPr>
              <w:pStyle w:val="Compact"/>
            </w:pPr>
            <w:r>
              <w:t xml:space="preserve">Función edge con fallback local</w:t>
            </w:r>
          </w:p>
        </w:tc>
      </w:tr>
    </w:tbl>
    <w:p>
      <w:pPr>
        <w:pStyle w:val="BodyText"/>
      </w:pPr>
      <w:r>
        <w:t xml:space="preserve">Diagrama de flujo:</w:t>
      </w:r>
    </w:p>
    <w:p>
      <w:pPr>
        <w:pStyle w:val="SourceCode"/>
      </w:pPr>
      <w:r>
        <w:rPr>
          <w:rStyle w:val="VerbatimChar"/>
        </w:rPr>
        <w:t xml:space="preserve"> 06:30  Descubridor ──candidatos──► 07:00  Curador</w:t>
      </w:r>
      <w:r>
        <w:br/>
      </w:r>
      <w:r>
        <w:rPr>
          <w:rStyle w:val="VerbatimChar"/>
        </w:rPr>
        <w:t xml:space="preserve">                                        │  prueba (batería) → puntúa → ordena → guardas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REGISTRO CENTRAL (cadena canónica + feed)</w:t>
      </w:r>
      <w:r>
        <w:br/>
      </w:r>
      <w:r>
        <w:rPr>
          <w:rStyle w:val="VerbatimChar"/>
        </w:rPr>
        <w:t xml:space="preserve">                              ▲            │                  ▲</w:t>
      </w:r>
      <w:r>
        <w:br/>
      </w:r>
      <w:r>
        <w:rPr>
          <w:rStyle w:val="VerbatimChar"/>
        </w:rPr>
        <w:t xml:space="preserve">                   opiniones  │            ▼                  │ opiniones</w:t>
      </w:r>
      <w:r>
        <w:br/>
      </w:r>
      <w:r>
        <w:rPr>
          <w:rStyle w:val="VerbatimChar"/>
        </w:rPr>
        <w:t xml:space="preserve">        ┌─────────────────────┴──┐   GATEWAY (apps)   ┌───────┴────────┐</w:t>
      </w:r>
      <w:r>
        <w:br/>
      </w:r>
      <w:r>
        <w:rPr>
          <w:rStyle w:val="VerbatimChar"/>
        </w:rPr>
        <w:t xml:space="preserve">        │ nodos 12h · PC 15:00   │                    │  MVM 21:00     │</w:t>
      </w:r>
      <w:r>
        <w:br/>
      </w:r>
      <w:r>
        <w:rPr>
          <w:rStyle w:val="VerbatimChar"/>
        </w:rPr>
        <w:t xml:space="preserve">        └────────────────────────┘                    └────────────────┘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Semántica “registro primero”.</w:t>
      </w:r>
      <w:r>
        <w:t xml:space="preserve"> </w:t>
      </w:r>
      <w:r>
        <w:t xml:space="preserve">La cadena canónica se publica en el registro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escribirse en los nodos; así, cualquier re-validación concurrente converge siempre a la</w:t>
      </w:r>
      <w:r>
        <w:t xml:space="preserve"> </w:t>
      </w:r>
      <w:r>
        <w:t xml:space="preserve">versión publicada y no puede reintroducir una cadena obsoleta.</w:t>
      </w:r>
    </w:p>
    <w:bookmarkEnd w:id="17"/>
    <w:bookmarkStart w:id="21" w:name="protocolo-de-validación"/>
    <w:p>
      <w:pPr>
        <w:pStyle w:val="Heading2"/>
      </w:pPr>
      <w:r>
        <w:t xml:space="preserve">4. Protocolo de validación</w:t>
      </w:r>
    </w:p>
    <w:bookmarkStart w:id="18" w:name="batería-de-sondas"/>
    <w:p>
      <w:pPr>
        <w:pStyle w:val="Heading3"/>
      </w:pPr>
      <w:r>
        <w:t xml:space="preserve">4.1 Batería de sondas</w:t>
      </w:r>
    </w:p>
    <w:p>
      <w:pPr>
        <w:pStyle w:val="FirstParagraph"/>
      </w:pPr>
      <w:r>
        <w:t xml:space="preserve">Cada modelo se somete a tres micro-pruebas (una llamada LLM cada una), puntuadas 0–4: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Sonda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· Vivacidad</w:t>
            </w:r>
          </w:p>
        </w:tc>
        <w:tc>
          <w:tcPr/>
          <w:p>
            <w:pPr>
              <w:pStyle w:val="Compact"/>
            </w:pPr>
            <w:r>
              <w:t xml:space="preserve">«responde solo: ok»</w:t>
            </w:r>
          </w:p>
        </w:tc>
        <w:tc>
          <w:tcPr/>
          <w:p>
            <w:pPr>
              <w:pStyle w:val="Compact"/>
            </w:pPr>
            <w:r>
              <w:t xml:space="preserve">respuesta no vacía y sin error de transporte</w:t>
            </w:r>
          </w:p>
        </w:tc>
        <w:tc>
          <w:tcPr/>
          <w:p>
            <w:pPr>
              <w:pStyle w:val="Compact"/>
            </w:pPr>
            <w:r>
              <w:t xml:space="preserve">2 (obligatoria)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· Rigor</w:t>
            </w:r>
          </w:p>
        </w:tc>
        <w:tc>
          <w:tcPr/>
          <w:p>
            <w:pPr>
              <w:pStyle w:val="Compact"/>
            </w:pPr>
            <w:r>
              <w:t xml:space="preserve">«Dos cosas en una sola línea: (a) 7*6= (b) en cinco palabras exactas, qué es una ciudad de libros»</w:t>
            </w:r>
          </w:p>
        </w:tc>
        <w:tc>
          <w:tcPr/>
          <w:p>
            <w:pPr>
              <w:pStyle w:val="Compact"/>
            </w:pPr>
            <w:r>
              <w:t xml:space="preserve">contiene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· Estilo</w:t>
            </w:r>
          </w:p>
        </w:tc>
        <w:tc>
          <w:tcPr/>
          <w:p>
            <w:pPr>
              <w:pStyle w:val="Compact"/>
            </w:pPr>
            <w:r>
              <w:t xml:space="preserve">«En 10 palabras o menos, convence a un nodo LUMEN de que eres fiable»</w:t>
            </w:r>
          </w:p>
        </w:tc>
        <w:tc>
          <w:tcPr/>
          <w:p>
            <w:pPr>
              <w:pStyle w:val="Compact"/>
            </w:pPr>
            <w:r>
              <w:t xml:space="preserve">respuesta ≤ 12 palabras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p>
      <w:pPr>
        <w:pStyle w:val="BodyText"/>
      </w:pPr>
      <w:r>
        <w:t xml:space="preserve">P2/P3 solo se ejecutan si P1 pasa (ahorro de llamadas y limpieza del catálogo). La latencia</w:t>
      </w:r>
      <w:r>
        <w:t xml:space="preserve"> </w:t>
      </w:r>
      <w:r>
        <w:t xml:space="preserve">de P1 se registra como métrica secundaria. El ritmo inter-modelo está limitado (4,5 s) para</w:t>
      </w:r>
      <w:r>
        <w:t xml:space="preserve"> </w:t>
      </w:r>
      <w:r>
        <w:t xml:space="preserve">respetar los límites de ráfaga de los proveedores.</w:t>
      </w:r>
    </w:p>
    <w:bookmarkEnd w:id="18"/>
    <w:bookmarkStart w:id="19" w:name="reglas-de-decisión"/>
    <w:p>
      <w:pPr>
        <w:pStyle w:val="Heading3"/>
      </w:pPr>
      <w:r>
        <w:t xml:space="preserve">4.2 Reglas de decisión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Usable</w:t>
      </w:r>
      <w:r>
        <w:t xml:space="preserve">: pasa P1.</w:t>
      </w:r>
      <w:r>
        <w:t xml:space="preserve"> </w:t>
      </w:r>
      <w:r>
        <w:rPr>
          <w:b/>
          <w:bCs/>
        </w:rPr>
        <w:t xml:space="preserve">Orden de cadena</w:t>
      </w:r>
      <w:r>
        <w:t xml:space="preserve">: posiciones fijas históricas (vivas) primero,</w:t>
      </w:r>
      <w:r>
        <w:t xml:space="preserve"> </w:t>
      </w:r>
      <w:r>
        <w:t xml:space="preserve">resto por puntuación descendente y latencia ascendente; máximo 7 modelos por cadena.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Guardas</w:t>
      </w:r>
      <w:r>
        <w:t xml:space="preserve">: nunca se aplica ni publica una cadena con menos de 3 modelos vivos; nunca</w:t>
      </w:r>
      <w:r>
        <w:t xml:space="preserve"> </w:t>
      </w:r>
      <w:r>
        <w:t xml:space="preserve">se escribe en los nodos sin verificación de la lectura posterior.</w:t>
      </w:r>
    </w:p>
    <w:p>
      <w:pPr>
        <w:pStyle w:val="Compact"/>
        <w:numPr>
          <w:ilvl w:val="0"/>
          <w:numId w:val="1002"/>
        </w:numPr>
      </w:pPr>
      <w:r>
        <w:t xml:space="preserve">Los modelos retirados observados se excluyen explícitamente.</w:t>
      </w:r>
    </w:p>
    <w:bookmarkEnd w:id="19"/>
    <w:bookmarkStart w:id="20" w:name="frescura-y-deduplicación"/>
    <w:p>
      <w:pPr>
        <w:pStyle w:val="Heading3"/>
      </w:pPr>
      <w:r>
        <w:t xml:space="preserve">4.3 Frescura y deduplicación</w:t>
      </w:r>
    </w:p>
    <w:p>
      <w:pPr>
        <w:pStyle w:val="FirstParagraph"/>
      </w:pPr>
      <w:r>
        <w:t xml:space="preserve">El registro mantiene (a) el</w:t>
      </w:r>
      <w:r>
        <w:t xml:space="preserve"> </w:t>
      </w:r>
      <w:r>
        <w:rPr>
          <w:b/>
          <w:bCs/>
        </w:rPr>
        <w:t xml:space="preserve">estado vivo</w:t>
      </w:r>
      <w:r>
        <w:t xml:space="preserve"> </w:t>
      </w:r>
      <w:r>
        <w:t xml:space="preserve">por fuente (última opinión de cada validador) y</w:t>
      </w:r>
      <w:r>
        <w:t xml:space="preserve"> </w:t>
      </w:r>
      <w:r>
        <w:t xml:space="preserve">(b) un</w:t>
      </w:r>
      <w:r>
        <w:t xml:space="preserve"> </w:t>
      </w:r>
      <w:r>
        <w:rPr>
          <w:b/>
          <w:bCs/>
        </w:rPr>
        <w:t xml:space="preserve">feed de novedades</w:t>
      </w:r>
      <w:r>
        <w:t xml:space="preserve">: las opiniones idénticas a la anterior de la misma fuente no</w:t>
      </w:r>
      <w:r>
        <w:t xml:space="preserve"> </w:t>
      </w:r>
      <w:r>
        <w:t xml:space="preserve">generan ruido. Para el análisis, deduplicamos observaciones por (modelo, fuente, instante).</w:t>
      </w:r>
    </w:p>
    <w:bookmarkEnd w:id="20"/>
    <w:bookmarkEnd w:id="21"/>
    <w:bookmarkStart w:id="25" w:name="evaluación-empírica"/>
    <w:p>
      <w:pPr>
        <w:pStyle w:val="Heading2"/>
      </w:pPr>
      <w:r>
        <w:t xml:space="preserve">5. Evaluación empírica</w:t>
      </w:r>
    </w:p>
    <w:bookmarkStart w:id="22" w:name="metodología"/>
    <w:p>
      <w:pPr>
        <w:pStyle w:val="Heading3"/>
      </w:pPr>
      <w:r>
        <w:t xml:space="preserve">5.1 Metodología</w:t>
      </w:r>
    </w:p>
    <w:p>
      <w:pPr>
        <w:pStyle w:val="FirstParagraph"/>
      </w:pPr>
      <w:r>
        <w:t xml:space="preserve">Ventana de observación continua:</w:t>
      </w:r>
      <w:r>
        <w:t xml:space="preserve"> </w:t>
      </w:r>
      <w:r>
        <w:rPr>
          <w:b/>
          <w:bCs/>
        </w:rPr>
        <w:t xml:space="preserve">17-sep-2026, 01:34–17:03 UTC (~15,5 h)</w:t>
      </w:r>
      <w:r>
        <w:t xml:space="preserve">, con el sistema</w:t>
      </w:r>
      <w:r>
        <w:t xml:space="preserve"> </w:t>
      </w:r>
      <w:r>
        <w:t xml:space="preserve">operando de forma autónoma (sin intervención humana tras el despliegue). Se registraron 15</w:t>
      </w:r>
      <w:r>
        <w:t xml:space="preserve"> </w:t>
      </w:r>
      <w:r>
        <w:t xml:space="preserve">entradas en el feed del registro, conteniendo</w:t>
      </w:r>
      <w:r>
        <w:t xml:space="preserve"> </w:t>
      </w:r>
      <w:r>
        <w:rPr>
          <w:b/>
          <w:bCs/>
        </w:rPr>
        <w:t xml:space="preserve">87 validaciones</w:t>
      </w:r>
      <w:r>
        <w:t xml:space="preserve"> </w:t>
      </w:r>
      <w:r>
        <w:t xml:space="preserve">(modelo × fuente × instante)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14 modelos distintos</w:t>
      </w:r>
      <w:r>
        <w:t xml:space="preserve"> </w:t>
      </w:r>
      <w:r>
        <w:t xml:space="preserve">desde</w:t>
      </w:r>
      <w:r>
        <w:t xml:space="preserve"> </w:t>
      </w:r>
      <w:r>
        <w:rPr>
          <w:b/>
          <w:bCs/>
        </w:rPr>
        <w:t xml:space="preserve">5 fuentes</w:t>
      </w:r>
      <w:r>
        <w:t xml:space="preserve"> </w:t>
      </w:r>
      <w:r>
        <w:t xml:space="preserve">(curador y 4 validadores).</w:t>
      </w:r>
    </w:p>
    <w:bookmarkEnd w:id="22"/>
    <w:bookmarkStart w:id="23" w:name="resultados"/>
    <w:p>
      <w:pPr>
        <w:pStyle w:val="Heading3"/>
      </w:pPr>
      <w:r>
        <w:t xml:space="preserve">5.2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 (free)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Lat. mín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Lat. 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Lat. máx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Pts.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nex-agi/nex-n2.5-pro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nvidia/nemotron-3-super-120b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nvidia/nemotron-3.5-lightning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29,56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openrouter/free (enrutador)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inclusionai/ling-3.0-flash-sante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nvidia/nemotron-3-ultra-550b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nex-agi/nex-n2.5-mini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(5 modelos con ≤ 4 obs.)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Hallazgos principales: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Viabilidad a coste cero y sin humano.</w:t>
      </w:r>
      <w:r>
        <w:t xml:space="preserve"> </w:t>
      </w:r>
      <w:r>
        <w:t xml:space="preserve">Durante 15,5 h, el servicio se mantuvo con</w:t>
      </w:r>
      <w:r>
        <w:t xml:space="preserve"> </w:t>
      </w:r>
      <w:r>
        <w:t xml:space="preserve">cadenas de 7 modelos, incluyendo la</w:t>
      </w:r>
      <w:r>
        <w:t xml:space="preserve"> </w:t>
      </w:r>
      <w:r>
        <w:rPr>
          <w:b/>
          <w:bCs/>
        </w:rPr>
        <w:t xml:space="preserve">entrada autónoma de 4 modelos nuevos</w:t>
      </w:r>
      <w:r>
        <w:t xml:space="preserve"> </w:t>
      </w:r>
      <w:r>
        <w:t xml:space="preserve">al catálogo</w:t>
      </w:r>
      <w:r>
        <w:t xml:space="preserve"> </w:t>
      </w:r>
      <w:r>
        <w:t xml:space="preserve">(descubrimiento web → prueba → cadena) y la retirada implícita de modelos flojos, sin</w:t>
      </w:r>
      <w:r>
        <w:t xml:space="preserve"> </w:t>
      </w:r>
      <w:r>
        <w:t xml:space="preserve">ninguna intervención humana. Coste total de inferencia: $0.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varianza inter-fuente es enorme y medible.</w:t>
      </w:r>
      <w:r>
        <w:t xml:space="preserve"> </w:t>
      </w:r>
      <w:r>
        <w:t xml:space="preserve">El mismo modelo registró latencias de</w:t>
      </w:r>
      <w:r>
        <w:t xml:space="preserve"> </w:t>
      </w:r>
      <w:r>
        <w:t xml:space="preserve">0,92 s (PC, 15:00) a 26,20 s (curador, 07:00) — una dispersión de</w:t>
      </w:r>
      <w:r>
        <w:t xml:space="preserve"> </w:t>
      </w:r>
      <w:r>
        <w:rPr>
          <w:b/>
          <w:bCs/>
        </w:rPr>
        <w:t xml:space="preserve">28×</w:t>
      </w:r>
      <w:r>
        <w:t xml:space="preserve"> </w:t>
      </w:r>
      <w:r>
        <w:t xml:space="preserve">— y</w:t>
      </w:r>
      <w:r>
        <w:t xml:space="preserve"> </w:t>
      </w:r>
      <w:r>
        <w:rPr>
          <w:rStyle w:val="VerbatimChar"/>
        </w:rPr>
        <w:t xml:space="preserve">nemotron-3.5-lightning</w:t>
      </w:r>
      <w:r>
        <w:t xml:space="preserve"> </w:t>
      </w:r>
      <w:r>
        <w:t xml:space="preserve">osciló entre 3,4 s y 29,6 s según la franja. Una fuente única</w:t>
      </w:r>
      <w:r>
        <w:t xml:space="preserve"> </w:t>
      </w:r>
      <w:r>
        <w:t xml:space="preserve">habría reportado una foto estática; cinco fuentes escalonadas revelan el perfil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desacuerdo entre fuentes identifica modelos inestables.</w:t>
      </w:r>
      <w:r>
        <w:t xml:space="preserve"> </w:t>
      </w:r>
      <w:r>
        <w:t xml:space="preserve">En una auditoría manual</w:t>
      </w:r>
      <w:r>
        <w:t xml:space="preserve"> </w:t>
      </w:r>
      <w:r>
        <w:t xml:space="preserve">de 28 llamadas,</w:t>
      </w:r>
      <w:r>
        <w:t xml:space="preserve"> </w:t>
      </w:r>
      <w:r>
        <w:rPr>
          <w:rStyle w:val="VerbatimChar"/>
        </w:rPr>
        <w:t xml:space="preserve">lightning</w:t>
      </w:r>
      <w:r>
        <w:t xml:space="preserve"> </w:t>
      </w:r>
      <w:r>
        <w:t xml:space="preserve">y el enrutador</w:t>
      </w:r>
      <w:r>
        <w:t xml:space="preserve"> </w:t>
      </w:r>
      <w:r>
        <w:rPr>
          <w:rStyle w:val="VerbatimChar"/>
        </w:rPr>
        <w:t xml:space="preserve">openrouter/free</w:t>
      </w:r>
      <w:r>
        <w:t xml:space="preserve"> </w:t>
      </w:r>
      <w:r>
        <w:t xml:space="preserve">fallaron con timeouts;</w:t>
      </w:r>
      <w:r>
        <w:t xml:space="preserve"> </w:t>
      </w:r>
      <w:r>
        <w:t xml:space="preserve">en las ventanas medidas por los nodos pasaron. La conclusión operativa no es “el modelo</w:t>
      </w:r>
      <w:r>
        <w:t xml:space="preserve"> </w:t>
      </w:r>
      <w:r>
        <w:t xml:space="preserve">falla” sino “</w:t>
      </w:r>
      <w:r>
        <w:rPr>
          <w:b/>
          <w:bCs/>
        </w:rPr>
        <w:t xml:space="preserve">este modelo es intermitente</w:t>
      </w:r>
      <w:r>
        <w:t xml:space="preserve">” — y el sistema lo retira o lo degrada con</w:t>
      </w:r>
      <w:r>
        <w:t xml:space="preserve"> </w:t>
      </w:r>
      <w:r>
        <w:t xml:space="preserve">esa evidencia acumulada, no con una impresión puntual.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 micro-probes separan modelos que la vivacidad confunde.</w:t>
      </w:r>
      <w:r>
        <w:t xml:space="preserve"> </w:t>
      </w:r>
      <w:r>
        <w:rPr>
          <w:rStyle w:val="VerbatimChar"/>
        </w:rPr>
        <w:t xml:space="preserve">nemotron-3-super</w:t>
      </w:r>
      <w:r>
        <w:t xml:space="preserve"> </w:t>
      </w:r>
      <w:r>
        <w:t xml:space="preserve">aprueba vivacidad pero puntúa 2,2/4 (responde en inglés a prompts en castellano,</w:t>
      </w:r>
      <w:r>
        <w:t xml:space="preserve"> </w:t>
      </w:r>
      <w:r>
        <w:t xml:space="preserve">formato irregular), mientras</w:t>
      </w:r>
      <w:r>
        <w:t xml:space="preserve"> </w:t>
      </w:r>
      <w:r>
        <w:rPr>
          <w:rStyle w:val="VerbatimChar"/>
        </w:rPr>
        <w:t xml:space="preserve">nex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ultra</w:t>
      </w:r>
      <w:r>
        <w:t xml:space="preserve"> </w:t>
      </w:r>
      <w:r>
        <w:t xml:space="preserve">puntúan 3,8/4. La puntuación permite</w:t>
      </w:r>
      <w:r>
        <w:t xml:space="preserve"> </w:t>
      </w:r>
      <w:r>
        <w:rPr>
          <w:i/>
          <w:iCs/>
        </w:rPr>
        <w:t xml:space="preserve">ordenar</w:t>
      </w:r>
      <w:r>
        <w:t xml:space="preserve"> </w:t>
      </w:r>
      <w:r>
        <w:t xml:space="preserve">la cascada, no solo filtrar.</w:t>
      </w:r>
    </w:p>
    <w:bookmarkEnd w:id="23"/>
    <w:bookmarkStart w:id="24" w:name="límites-del-estudio"/>
    <w:p>
      <w:pPr>
        <w:pStyle w:val="Heading3"/>
      </w:pPr>
      <w:r>
        <w:t xml:space="preserve">5.3 Límites del estudio</w:t>
      </w:r>
    </w:p>
    <w:p>
      <w:pPr>
        <w:pStyle w:val="FirstParagraph"/>
      </w:pPr>
      <w:r>
        <w:t xml:space="preserve">Ventana corta (15,5 h) y N pequeño; un solo agregador de origen (OpenRouter); sondas</w:t>
      </w:r>
      <w:r>
        <w:t xml:space="preserve"> </w:t>
      </w:r>
      <w:r>
        <w:t xml:space="preserve">deliberadamente ligeras (miden vivacidad, aritmética trivial, restricción de formato 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calidad de razonamiento largo ni fidelidad factual); latencias auto-reportadas por</w:t>
      </w:r>
      <w:r>
        <w:t xml:space="preserve"> </w:t>
      </w:r>
      <w:r>
        <w:t xml:space="preserve">los validadores (incluyen su propio overhead, lo que es a la vez métrica de servicio</w:t>
      </w:r>
      <w:r>
        <w:t xml:space="preserve"> </w:t>
      </w:r>
      <w:r>
        <w:t xml:space="preserve">percibido); y volatilidad intrínseca del objeto de estudio (los resultados de mañana no</w:t>
      </w:r>
      <w:r>
        <w:t xml:space="preserve"> </w:t>
      </w:r>
      <w:r>
        <w:t xml:space="preserve">serán los de hoy — precisamente el punto). Los datos completos quedan versionados en el</w:t>
      </w:r>
      <w:r>
        <w:t xml:space="preserve"> </w:t>
      </w:r>
      <w:r>
        <w:t xml:space="preserve">repositorio del proyecto para su re-análisis.</w:t>
      </w:r>
    </w:p>
    <w:bookmarkEnd w:id="24"/>
    <w:bookmarkEnd w:id="25"/>
    <w:bookmarkStart w:id="26" w:name="discusión"/>
    <w:p>
      <w:pPr>
        <w:pStyle w:val="Heading2"/>
      </w:pPr>
      <w:r>
        <w:t xml:space="preserve">6. Discusión</w:t>
      </w:r>
    </w:p>
    <w:p>
      <w:pPr>
        <w:pStyle w:val="FirstParagraph"/>
      </w:pPr>
      <w:r>
        <w:t xml:space="preserve">Tres consecuencias nos parecen generalizables: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fiabilidad como medición, no como promesa.</w:t>
      </w:r>
      <w:r>
        <w:t xml:space="preserve"> </w:t>
      </w:r>
      <w:r>
        <w:t xml:space="preserve">Donde no hay SLA, el sustituto es</w:t>
      </w:r>
      <w:r>
        <w:t xml:space="preserve"> </w:t>
      </w:r>
      <w:r>
        <w:t xml:space="preserve">evidencia distribuida continua: varias fuentes, franjas escalonadas y un registro público.</w:t>
      </w:r>
      <w:r>
        <w:t xml:space="preserve"> </w:t>
      </w:r>
      <w:r>
        <w:t xml:space="preserve">El coste marginal de esa evidencia es ~0 porque reutiliza los propios nodos consumidores.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volatilidad del free tier es gestionable con guardas conservadoras.</w:t>
      </w:r>
      <w:r>
        <w:t xml:space="preserve"> </w:t>
      </w:r>
      <w:r>
        <w:t xml:space="preserve">La clave no es</w:t>
      </w:r>
      <w:r>
        <w:t xml:space="preserve"> </w:t>
      </w:r>
      <w:r>
        <w:t xml:space="preserve">elegir bien una vez, sino</w:t>
      </w:r>
      <w:r>
        <w:t xml:space="preserve"> </w:t>
      </w:r>
      <w:r>
        <w:rPr>
          <w:i/>
          <w:iCs/>
        </w:rPr>
        <w:t xml:space="preserve">nunca quedarse sin cadena</w:t>
      </w:r>
      <w:r>
        <w:t xml:space="preserve">: umbral de 3 modelos, cascada con</w:t>
      </w:r>
      <w:r>
        <w:t xml:space="preserve"> </w:t>
      </w:r>
      <w:r>
        <w:t xml:space="preserve">fallback, publicación atómica y curación diaria. El sistema tolera que un modelo muera en</w:t>
      </w:r>
      <w:r>
        <w:t xml:space="preserve"> </w:t>
      </w:r>
      <w:r>
        <w:t xml:space="preserve">cualquier momento porque su muerte es detectable en horas, no en incidencias.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democratización requiere infraestructura mínima, no máxima.</w:t>
      </w:r>
      <w:r>
        <w:t xml:space="preserve"> </w:t>
      </w:r>
      <w:r>
        <w:t xml:space="preserve">El binario completo de</w:t>
      </w:r>
      <w:r>
        <w:t xml:space="preserve"> </w:t>
      </w:r>
      <w:r>
        <w:t xml:space="preserve">un nodo ocupa ~4 MB y corre en hardware de desecho; el coste de reproducción del diseño es</w:t>
      </w:r>
      <w:r>
        <w:t xml:space="preserve"> </w:t>
      </w:r>
      <w:r>
        <w:t xml:space="preserve">prácticamente nulo. Esto invierte la intuición dominante (más GPUs) y sugiere que la</w:t>
      </w:r>
      <w:r>
        <w:t xml:space="preserve"> </w:t>
      </w:r>
      <w:r>
        <w:t xml:space="preserve">palanca real es de</w:t>
      </w:r>
      <w:r>
        <w:t xml:space="preserve"> </w:t>
      </w:r>
      <w:r>
        <w:rPr>
          <w:b/>
          <w:bCs/>
        </w:rPr>
        <w:t xml:space="preserve">red y protocolo</w:t>
      </w:r>
      <w:r>
        <w:t xml:space="preserve">, no de cómputo.</w:t>
      </w:r>
    </w:p>
    <w:bookmarkEnd w:id="26"/>
    <w:bookmarkStart w:id="31" w:name="trabajo-futuro-lumenhome-y-radio"/>
    <w:p>
      <w:pPr>
        <w:pStyle w:val="Heading2"/>
      </w:pPr>
      <w:r>
        <w:t xml:space="preserve">7. Trabajo futuro: Lumen@Home y radio</w:t>
      </w:r>
    </w:p>
    <w:p>
      <w:pPr>
        <w:pStyle w:val="FirstParagraph"/>
      </w:pPr>
      <w:r>
        <w:rPr>
          <w:b/>
          <w:bCs/>
        </w:rPr>
        <w:t xml:space="preserve">Lumen@Home (computación voluntaria).</w:t>
      </w:r>
      <w:r>
        <w:t xml:space="preserve"> </w:t>
      </w:r>
      <w:r>
        <w:t xml:space="preserve">Las validaciones descritas son, en esencia,</w:t>
      </w:r>
      <w:r>
        <w:t xml:space="preserve"> </w:t>
      </w:r>
      <w:r>
        <w:rPr>
          <w:b/>
          <w:bCs/>
        </w:rPr>
        <w:t xml:space="preserve">unidades de trabajo</w:t>
      </w:r>
      <w:r>
        <w:t xml:space="preserve"> </w:t>
      </w:r>
      <w:r>
        <w:t xml:space="preserve">con todas las primitivas ya construidas: petición, ejecución con</w:t>
      </w:r>
      <w:r>
        <w:t xml:space="preserve"> </w:t>
      </w:r>
      <w:r>
        <w:t xml:space="preserve">límite de recursos, firma del resultado y agregación en un registro. La extensión natural es</w:t>
      </w:r>
      <w:r>
        <w:t xml:space="preserve"> </w:t>
      </w:r>
      <w:r>
        <w:t xml:space="preserve">abrir el circuito a voluntarios (</w:t>
      </w:r>
      <w:r>
        <w:rPr>
          <w:rStyle w:val="VerbatimChar"/>
        </w:rPr>
        <w:t xml:space="preserve">mvm-nas --volunteer &lt;url&gt;</w:t>
      </w:r>
      <w:r>
        <w:t xml:space="preserve">): validación por quórum 2-de-3,</w:t>
      </w:r>
      <w:r>
        <w:t xml:space="preserve"> </w:t>
      </w:r>
      <w:r>
        <w:t xml:space="preserve">reputación simple y permisos delegables mediante</w:t>
      </w:r>
      <w:r>
        <w:t xml:space="preserve"> </w:t>
      </w:r>
      <w:r>
        <w:rPr>
          <w:i/>
          <w:iCs/>
        </w:rPr>
        <w:t xml:space="preserve">macaroons</w:t>
      </w:r>
      <w:r>
        <w:t xml:space="preserve">, siguiendo las lecciones de</w:t>
      </w:r>
      <w:r>
        <w:t xml:space="preserve"> </w:t>
      </w:r>
      <w:r>
        <w:t xml:space="preserve">BOINC/SETI@home</w:t>
      </w:r>
      <w:r>
        <w:rPr>
          <w:rStyle w:val="FootnoteReference"/>
        </w:rPr>
        <w:footnoteReference w:id="27"/>
      </w:r>
      <w:r>
        <w:rPr>
          <w:rStyle w:val="FootnoteReference"/>
        </w:rPr>
        <w:footnoteReference w:id="28"/>
      </w:r>
      <w:r>
        <w:t xml:space="preserve">: unidad pequeña, cliente invisible, crédito visible.</w:t>
      </w:r>
    </w:p>
    <w:p>
      <w:pPr>
        <w:pStyle w:val="BodyText"/>
      </w:pPr>
      <w:r>
        <w:rPr>
          <w:b/>
          <w:bCs/>
        </w:rPr>
        <w:t xml:space="preserve">Transporte por radio.</w:t>
      </w:r>
      <w:r>
        <w:t xml:space="preserve"> </w:t>
      </w:r>
      <w:r>
        <w:t xml:space="preserve">Las unidades de trabajo del sistema son texto de bytes y JSON de</w:t>
      </w:r>
      <w:r>
        <w:t xml:space="preserve"> </w:t>
      </w:r>
      <w:r>
        <w:t xml:space="preserve">kilobytes:</w:t>
      </w:r>
      <w:r>
        <w:t xml:space="preserve"> </w:t>
      </w:r>
      <w:r>
        <w:rPr>
          <w:b/>
          <w:bCs/>
        </w:rPr>
        <w:t xml:space="preserve">la capa de coordinación completa cabe en un canal de ~1 kbps</w:t>
      </w:r>
      <w:r>
        <w:t xml:space="preserve">. Sobre Reticulum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(cifrado extremo a extremo sobre LoRa/packet/HF) o mallas Meshtastic</w:t>
      </w:r>
      <w:r>
        <w:rPr>
          <w:rStyle w:val="FootnoteReference"/>
        </w:rPr>
        <w:footnoteReference w:id="30"/>
      </w:r>
      <w:r>
        <w:t xml:space="preserve">, un nodo equipado</w:t>
      </w:r>
      <w:r>
        <w:t xml:space="preserve"> </w:t>
      </w:r>
      <w:r>
        <w:t xml:space="preserve">con un módulo LoRa (~€20–40) puede recibir trabajo, ejecutarlo contra un modelo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(llama.cpp/Ollama, sin Internet) y devolver el resultado firmado. Esa combinación —modelo</w:t>
      </w:r>
      <w:r>
        <w:t xml:space="preserve"> </w:t>
      </w:r>
      <w:r>
        <w:t xml:space="preserve">local + radio— cierra el círculo de la soberanía: el nodo deja de necesitar la nube, no por</w:t>
      </w:r>
      <w:r>
        <w:t xml:space="preserve"> </w:t>
      </w:r>
      <w:r>
        <w:t xml:space="preserve">ideología, sino por física del medio.</w:t>
      </w:r>
    </w:p>
    <w:bookmarkEnd w:id="31"/>
    <w:bookmarkStart w:id="32" w:name="reproducibilidad"/>
    <w:p>
      <w:pPr>
        <w:pStyle w:val="Heading2"/>
      </w:pPr>
      <w:r>
        <w:t xml:space="preserve">8. Reproducibilidad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público</w:t>
      </w:r>
      <w:r>
        <w:t xml:space="preserve"> </w:t>
      </w:r>
      <w:r>
        <w:t xml:space="preserve">(lectura):</w:t>
      </w:r>
      <w:r>
        <w:t xml:space="preserve"> </w:t>
      </w:r>
      <w:r>
        <w:rPr>
          <w:rStyle w:val="VerbatimChar"/>
        </w:rPr>
        <w:t xml:space="preserve">https://cadences.app/api/llmfree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/hist</w:t>
      </w:r>
      <w:r>
        <w:t xml:space="preserve"> </w:t>
      </w:r>
      <w:r>
        <w:t xml:space="preserve">— cadena</w:t>
      </w:r>
      <w:r>
        <w:t xml:space="preserve"> </w:t>
      </w:r>
      <w:r>
        <w:t xml:space="preserve">canónica, opiniones por fuente y feed de novedades con puntuaciones y latencias.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Datos del estudio</w:t>
      </w:r>
      <w:r>
        <w:t xml:space="preserve">: volcados en el repositorio del proyecto (</w:t>
      </w:r>
      <w:r>
        <w:rPr>
          <w:rStyle w:val="VerbatimChar"/>
        </w:rPr>
        <w:t xml:space="preserve">cadenceslab-social</w:t>
      </w:r>
      <w:r>
        <w:t xml:space="preserve">,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modelos-free/</w:t>
      </w:r>
      <w:r>
        <w:t xml:space="preserve">: informes diarios,</w:t>
      </w:r>
      <w:r>
        <w:t xml:space="preserve"> </w:t>
      </w:r>
      <w:r>
        <w:rPr>
          <w:rStyle w:val="VerbatimChar"/>
        </w:rPr>
        <w:t xml:space="preserve">historial.jsonl</w:t>
      </w:r>
      <w:r>
        <w:t xml:space="preserve">, digests de investigación).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Componentes</w:t>
      </w:r>
      <w:r>
        <w:t xml:space="preserve">: nodos (binario ARM ~4 MB + base embebida), curador y validadores</w:t>
      </w:r>
      <w:r>
        <w:t xml:space="preserve"> </w:t>
      </w:r>
      <w:r>
        <w:t xml:space="preserve">(scripts), batería de sondas descrita en §4.1. Partes del sistema son privadas por</w:t>
      </w:r>
      <w:r>
        <w:t xml:space="preserve"> </w:t>
      </w:r>
      <w:r>
        <w:t xml:space="preserve">contener despliegues personales; el protocolo completo se describe aquí para su</w:t>
      </w:r>
      <w:r>
        <w:t xml:space="preserve"> </w:t>
      </w:r>
      <w:r>
        <w:t xml:space="preserve">reimplementación independiente.</w:t>
      </w:r>
    </w:p>
    <w:bookmarkEnd w:id="32"/>
    <w:bookmarkStart w:id="33" w:name="conclusión"/>
    <w:p>
      <w:pPr>
        <w:pStyle w:val="Heading2"/>
      </w:pPr>
      <w:r>
        <w:t xml:space="preserve">9. Conclusión</w:t>
      </w:r>
    </w:p>
    <w:p>
      <w:pPr>
        <w:pStyle w:val="FirstParagraph"/>
      </w:pPr>
      <w:r>
        <w:t xml:space="preserve">Un catálogo de modelos gratuitos, tratado como</w:t>
      </w:r>
      <w:r>
        <w:t xml:space="preserve"> </w:t>
      </w:r>
      <w:r>
        <w:rPr>
          <w:b/>
          <w:bCs/>
        </w:rPr>
        <w:t xml:space="preserve">recurso comunitario medido</w:t>
      </w:r>
      <w:r>
        <w:t xml:space="preserve">, puede sostener</w:t>
      </w:r>
      <w:r>
        <w:t xml:space="preserve"> </w:t>
      </w:r>
      <w:r>
        <w:t xml:space="preserve">servicios de inferencia reales a coste cero y sin operador humano: descubrimiento diario,</w:t>
      </w:r>
      <w:r>
        <w:t xml:space="preserve"> </w:t>
      </w:r>
      <w:r>
        <w:t xml:space="preserve">curación con guardas, publicación canónica y validación distribuida escalonada. La medición</w:t>
      </w:r>
      <w:r>
        <w:t xml:space="preserve"> </w:t>
      </w:r>
      <w:r>
        <w:t xml:space="preserve">multi-fuente no es un lujo metodológico: es el mecanismo que convierte la volatilidad de los</w:t>
      </w:r>
      <w:r>
        <w:t xml:space="preserve"> </w:t>
      </w:r>
      <w:r>
        <w:rPr>
          <w:i/>
          <w:iCs/>
        </w:rPr>
        <w:t xml:space="preserve">free tiers</w:t>
      </w:r>
      <w:r>
        <w:t xml:space="preserve"> </w:t>
      </w:r>
      <w:r>
        <w:t xml:space="preserve">en información accionable. Los siguientes pasos —unidades de trabajo abiertas a</w:t>
      </w:r>
      <w:r>
        <w:t xml:space="preserve"> </w:t>
      </w:r>
      <w:r>
        <w:t xml:space="preserve">voluntarios y transporte por radio de bajo ancho de banda— extienden el mismo diseño hasta</w:t>
      </w:r>
      <w:r>
        <w:t xml:space="preserve"> </w:t>
      </w:r>
      <w:r>
        <w:t xml:space="preserve">una red que puede operar sin datacenter, sin tarjeta y, si hace falta, sin Internet.</w:t>
      </w:r>
    </w:p>
    <w:p>
      <w:pPr>
        <w:pStyle w:val="BlockText"/>
      </w:pPr>
      <w:r>
        <w:t xml:space="preserve">«SETI@home buscaba señales de otros. Lumen@Home reparte la inteligencia entre nosotros.»</w:t>
      </w:r>
      <w:r>
        <w:t xml:space="preserve"> </w:t>
      </w:r>
      <w:r>
        <w:t xml:space="preserve">Y por radio, si hace falta. 📡</w:t>
      </w:r>
    </w:p>
    <w:p>
      <w:r>
        <w:pict>
          <v:rect style="width:0;height:1.5pt" o:hralign="center" o:hrstd="t" o:hr="t"/>
        </w:pict>
      </w:r>
    </w:p>
    <w:bookmarkEnd w:id="33"/>
    <w:bookmarkStart w:id="3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rPr>
          <w:i/>
          <w:iCs/>
        </w:rPr>
        <w:t xml:space="preserve">Manuscrito preparado el 17 de septiembre de 2026. Datos: ventana 01:34–17:03 UTC del 17-sep-2026, 87 validaciones, 14 modelos, 5 fuentes. Repositorio: lumen-protocol (docs/).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OpenRouter — API unificada de modelos (endpoint público</w:t>
      </w:r>
      <w:r>
        <w:t xml:space="preserve"> </w:t>
      </w:r>
      <w:r>
        <w:rPr>
          <w:rStyle w:val="VerbatimChar"/>
        </w:rPr>
        <w:t xml:space="preserve">/api/v1/models</w:t>
      </w:r>
      <w:r>
        <w:t xml:space="preserve"> </w:t>
      </w:r>
      <w:r>
        <w:t xml:space="preserve">con precios).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SETI@home (Berkeley SETI Research Center, 1999–2020; &gt;5,2 M participantes; 12·10⁹ detecciones). Documentación histórica y nota de hibernación de marzo de 2020.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BOINC — Berkeley Open Infrastructure for Network Computing (Universidad de California, Berkeley); ~30 proyectos activos de computación voluntaria.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Reticulum Network Stack —</w:t>
      </w:r>
      <w:r>
        <w:t xml:space="preserve"> </w:t>
      </w:r>
      <w:r>
        <w:rPr>
          <w:i/>
          <w:iCs/>
        </w:rPr>
        <w:t xml:space="preserve">«the cryptography-based networking stack for building unstoppable networks with LoRa, Packet Radio, WiFi and everything in between»</w:t>
      </w:r>
      <w:r>
        <w:t xml:space="preserve">;</w:t>
      </w:r>
      <w:r>
        <w:t xml:space="preserve"> </w:t>
      </w:r>
      <w:r>
        <w:rPr>
          <w:rStyle w:val="VerbatimChar"/>
        </w:rPr>
        <w:t xml:space="preserve">rnx</w:t>
      </w:r>
      <w:r>
        <w:t xml:space="preserve">/</w:t>
      </w:r>
      <w:r>
        <w:rPr>
          <w:rStyle w:val="VerbatimChar"/>
        </w:rPr>
        <w:t xml:space="preserve">rncp</w:t>
      </w:r>
      <w:r>
        <w:t xml:space="preserve"> </w:t>
      </w:r>
      <w:r>
        <w:t xml:space="preserve">operan sobre enlaces de muy bajo ancho de banda.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Meshtastic — mallas LoRa de bajo consumo; presets de módem de ~0,2 kbps (LongSlow) a ~20 kbps (ShortTurbo), con restricciones de ciclo de trabajo según banda ISM.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Sistema propio: nodos MVM (mvm-nas), rutinas M de curación y validación, registro central en Cloudflare (Pages Functions + KV) y puerta de inferencia con lectura dinámica de la cadena.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SETI@home (Berkeley SETI Research Center, 1999–2020; &gt;5,2 M participantes; 12·10⁹ detecciones). Documentación histórica y nota de hibernación de marzo de 2020.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BOINC — Berkeley Open Infrastructure for Network Computing (Universidad de California, Berkeley); ~30 proyectos activos de computación voluntaria.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Reticulum Network Stack —</w:t>
      </w:r>
      <w:r>
        <w:t xml:space="preserve"> </w:t>
      </w:r>
      <w:r>
        <w:rPr>
          <w:i/>
          <w:iCs/>
        </w:rPr>
        <w:t xml:space="preserve">«the cryptography-based networking stack for building unstoppable networks with LoRa, Packet Radio, WiFi and everything in between»</w:t>
      </w:r>
      <w:r>
        <w:t xml:space="preserve">;</w:t>
      </w:r>
      <w:r>
        <w:t xml:space="preserve"> </w:t>
      </w:r>
      <w:r>
        <w:rPr>
          <w:rStyle w:val="VerbatimChar"/>
        </w:rPr>
        <w:t xml:space="preserve">rnx</w:t>
      </w:r>
      <w:r>
        <w:t xml:space="preserve">/</w:t>
      </w:r>
      <w:r>
        <w:rPr>
          <w:rStyle w:val="VerbatimChar"/>
        </w:rPr>
        <w:t xml:space="preserve">rncp</w:t>
      </w:r>
      <w:r>
        <w:t xml:space="preserve"> </w:t>
      </w:r>
      <w:r>
        <w:t xml:space="preserve">operan sobre enlaces de muy bajo ancho de banda.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Meshtastic — mallas LoRa de bajo consumo; presets de módem de ~0,2 kbps (LongSlow) a ~20 kbps (ShortTurbo), con restricciones de ciclo de trabajo según banda ISM.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2026-09-17T19:32:44Z</dcterms:created>
  <dcterms:modified xsi:type="dcterms:W3CDTF">2026-09-17T19:32:44Z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