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Reentrega M3 — Agente de sala de escape</w:t>
      </w:r>
    </w:p>
    <w:p>
      <w:pPr>
        <w:pStyle w:val="Subtitle"/>
      </w:pPr>
      <w:r>
        <w:t xml:space="preserve">Experimentación y evaluación · Septiembre de 2026</w:t>
      </w:r>
    </w:p>
    <w:p>
      <w:pPr>
        <w:pStyle w:val="Heading1"/>
      </w:pPr>
      <w:r>
        <w:t xml:space="preserve">Qué buscamos en esta revisión</w:t>
      </w:r>
    </w:p>
    <w:p>
      <w:r>
        <w:t xml:space="preserve">Para esta reentrega nos enfocamos en lo que faltaba explicar mejor: qué pasa cuando cambiamos el máximo de iteraciones y cómo evaluamos al agente. La idea fue mantener una base fija y comparar resultados, en vez de seguir agregando cambios sin medir su efecto.</w:t>
      </w:r>
    </w:p>
    <w:p>
      <w:pPr>
        <w:pStyle w:val="Heading1"/>
      </w:pPr>
      <w:r>
        <w:t xml:space="preserve">Cómo hicimos las pruebas</w:t>
      </w:r>
    </w:p>
    <w:p>
      <w:r>
        <w:t xml:space="preserve">Usamos los ocho escenarios del trabajo, con Amazon Nova Lite (amazon.nova-lite-v1:0), temperatura 0,2, prompt 04 y un historial máximo de 80 mensajes. Cada caso arrancó con un agente y un mundo nuevos. Hicimos tres repeticiones por escenario y configuración: 96 casos para iteraciones y 48 para memoria. Ambas corridas terminaron sin errores de infraestructura.</w:t>
      </w:r>
    </w:p>
    <w:p>
      <w:r>
        <w:t xml:space="preserve">Antes corregimos dos problemas de memoria: insistir con objetos que no se pueden llevar y conservar salidas como bloqueadas después de abrirlas. También arreglamos la opción para desactivar memoria, que antes no llegaba correctamente al agente. Por eso repetimos esa comparación y no usamos sus resultados históricos como evidencia.</w:t>
      </w:r>
    </w:p>
    <w:p>
      <w:r>
        <w:t xml:space="preserve">El evaluador guarda cada caso al terminar, junto con herramientas, errores, tokens y duración. Cada corrida tiene una carpeta propia con la configuración resuelta, el prompt y los escenarios utilizados. El éxito se verifica con check_goal sobre el mundo, al finalizar; el agente no recibe esa señal para decidir cuándo parar.</w:t>
      </w:r>
    </w:p>
    <w:p>
      <w:pPr>
        <w:pStyle w:val="Heading1"/>
      </w:pPr>
      <w:r>
        <w:t xml:space="preserve">Experimento 1: máximo de iteraciones</w:t>
      </w:r>
    </w:p>
    <w:tbl>
      <w:tblPr>
        <w:tblW w:w="0" w:type="auto"/>
        <w:tblBorders>
          <w:top w:val="single" w:sz="4" w:color="D5DDE5"/>
          <w:bottom w:val="single" w:sz="4" w:color="D5DDE5"/>
          <w:insideH w:val="single" w:sz="4" w:color="D5DDE5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1000"/>
        <w:gridCol w:w="2300"/>
        <w:gridCol w:w="2900"/>
        <w:gridCol w:w="3200"/>
      </w:tblGrid>
      <w:tr>
        <w:trPr>
          <w:cantSplit/>
          <w:tblHeader/>
        </w:trPr>
        <w:tc>
          <w:tcPr>
            <w:tcW w:w="10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Límite</w:t>
            </w:r>
          </w:p>
        </w:tc>
        <w:tc>
          <w:tcPr>
            <w:tcW w:w="23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éxitos</w:t>
            </w:r>
          </w:p>
        </w:tc>
        <w:tc>
          <w:tcPr>
            <w:tcW w:w="29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Herramientas/caso</w:t>
            </w:r>
          </w:p>
        </w:tc>
        <w:tc>
          <w:tcPr>
            <w:tcW w:w="32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Tokens totales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7/24 (29,2 %)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13,88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1.460.578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18/24 (75 %)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20,83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2.797.568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TableText"/>
            </w:pPr>
            <w:r>
              <w:t xml:space="preserve">45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20/24 (83,3 %)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27,88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3.978.457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21/24 (87,5 %)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35,75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4.149.990</w:t>
            </w:r>
          </w:p>
        </w:tc>
      </w:tr>
    </w:tbl>
    <w:p>
      <w:pPr>
        <w:pStyle w:val="Spacer"/>
      </w:pPr>
      <w:r>
        <w:t xml:space="preserve"/>
      </w:r>
    </w:p>
    <w:p>
      <w:r>
        <w:t xml:space="preserve">El salto más importante apareció entre 15 y 30. Después hubo menos ganancia: pasar de 30 a 45 sumó dos éxitos y consumió un 42 % más de tokens; de 45 a 60 sumó uno, con un 4,3 % más de tokens. Los promedios incluyen tanto casos resueltos como fallidos.</w:t>
      </w:r>
    </w:p>
    <w:p>
      <w:r>
        <w:t xml:space="preserve">Más tiempo tampoco garantiza avanzar. En office-sequence, con límite 60, el agente cumplió el objetivo y luego ejecutó 38, 41 y 38 acciones adicionales. Otro caso llegó a 229 intentos de herramientas sin resolver. Esto no rompe el límite: una iteración es una llamada al modelo y puede pedir varias herramientas, incluidas las que la memoria bloquea.</w:t>
      </w:r>
    </w:p>
    <w:p>
      <w:r>
        <w:br w:type="page"/>
      </w:r>
    </w:p>
    <w:p>
      <w:pPr>
        <w:pStyle w:val="Heading1"/>
      </w:pPr>
      <w:r>
        <w:t xml:space="preserve">Experimento 2: aporte de la memoria</w:t>
      </w:r>
    </w:p>
    <w:p>
      <w:r>
        <w:t xml:space="preserve">Conservamos el mismo prompt y 45 iteraciones, cambiando solamente la memoria estructurada. Esta opción incluye tanto el contexto que recuerda el agente como los controles previos a ejecutar herramientas.</w:t>
      </w:r>
    </w:p>
    <w:tbl>
      <w:tblPr>
        <w:tblW w:w="0" w:type="auto"/>
        <w:tblBorders>
          <w:top w:val="single" w:sz="4" w:color="D5DDE5"/>
          <w:bottom w:val="single" w:sz="4" w:color="D5DDE5"/>
          <w:insideH w:val="single" w:sz="4" w:color="D5DDE5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1800"/>
        <w:gridCol w:w="1900"/>
        <w:gridCol w:w="2500"/>
        <w:gridCol w:w="3200"/>
      </w:tblGrid>
      <w:tr>
        <w:trPr>
          <w:cantSplit/>
          <w:tblHeader/>
        </w:trPr>
        <w:tc>
          <w:tcPr>
            <w:tcW w:w="18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Configuración</w:t>
            </w:r>
          </w:p>
        </w:tc>
        <w:tc>
          <w:tcPr>
            <w:tcW w:w="19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éxitos</w:t>
            </w:r>
          </w:p>
        </w:tc>
        <w:tc>
          <w:tcPr>
            <w:tcW w:w="25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Herramientas/caso</w:t>
            </w:r>
          </w:p>
        </w:tc>
        <w:tc>
          <w:tcPr>
            <w:tcW w:w="3200" w:type="dxa"/>
            <w:shd w:fill="EAF0F5"/>
          </w:tcPr>
          <w:p>
            <w:pPr>
              <w:pStyle w:val="TableText"/>
            </w:pPr>
            <w:r>
              <w:rPr>
                <w:b/>
              </w:rPr>
              <w:t xml:space="preserve">Tokens totales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Sin memoria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17/24 (70,8 %)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29,17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4.240.841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 memoria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20/24 (83,3 %)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25,08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t xml:space="preserve">3.450.131</w:t>
            </w:r>
          </w:p>
        </w:tc>
      </w:tr>
    </w:tbl>
    <w:p>
      <w:pPr>
        <w:pStyle w:val="Spacer"/>
      </w:pPr>
      <w:r>
        <w:t xml:space="preserve"/>
      </w:r>
    </w:p>
    <w:p>
      <w:r>
        <w:t xml:space="preserve">Con memoria obtuvimos 12,5 puntos porcentuales más de éxito, usando un 14 % menos de herramientas y un 18,6 % menos de tokens. Mejoraron biblioteca, oficina y los dos escenarios de bóveda. No mejoró todo: color-locks pasó de 3/3 a 2/3 porque una ejecución quedó repitiendo inspecciones. El resultado apoya mantener la memoria, pero no significa que resuelva todos los atascos.</w:t>
      </w:r>
    </w:p>
    <w:p>
      <w:pPr>
        <w:pStyle w:val="Heading1"/>
      </w:pPr>
      <w:r>
        <w:t xml:space="preserve">Cómo evaluamos la calidad de las trayectorias</w:t>
      </w:r>
    </w:p>
    <w:p>
      <w:r>
        <w:t xml:space="preserve">Además del éxito, aplicamos una rúbrica automática de 0 a 3: 0 indica ausencia de progreso o de una traza evaluable; 1, progreso limitado; 2, progreso parcial o resolución con mucho ruido; y 3, resolución con una trayectoria coherente según las reglas. El script lee results.jsonl y busca errores, repeticiones y señales de progreso. No usamos otro LLM como juez.</w:t>
      </w:r>
    </w:p>
    <w:p>
      <w:r>
        <w:t xml:space="preserve">El promedio con/sin memoria fue 2,375/2,208. Para límites de 15, 30, 45 y 60 fue 2,083; 2,375; 2,125 y 2,375. Son indicadores heurísticos: usan también el éxito del mundo y no miden por sí solos si la respuesta final es correcta. Tres trazas ayudan a explicar sus límites:</w:t>
      </w:r>
    </w:p>
    <w:p>
      <w:r>
        <w:t xml:space="preserve">• Resolución eficiente: study-with-key, límite 15, repetición 1. Observó, examinó la alfombra, tomó la llave y abrió la puerta en cuatro herramientas. Obtuvo 3, sin errores ni repeticiones.</w:t>
      </w:r>
    </w:p>
    <w:p>
      <w:r>
        <w:t xml:space="preserve">• Atasco: color-locks con memoria, repetición 2. Tomó la llave plateada, la probó contra la puerta y volvió a inspeccionar cofres hasta agotar 45 iteraciones. La rúbrica dio 2, pero la traza sugiere 1: confundió la descripción “las bisagras se abren” con progreso de apertura. Conservamos el puntaje automático y dejamos señalado el problema.</w:t>
      </w:r>
    </w:p>
    <w:p>
      <w:r>
        <w:t xml:space="preserve">• éxito con mal cierre: office-sequence, límite 60, repetición 2. Tomó el documento en el paso 14 y abrió la puerta en el 20, respetando el orden. Agregó 41 acciones y terminó diciendo que no pudo completar la tarea. Recibió 2: el mundo estaba resuelto, pero la finalización fue incorrecta.</w:t>
      </w:r>
    </w:p>
    <w:p>
      <w:pPr>
        <w:pStyle w:val="Heading1"/>
      </w:pPr>
      <w:r>
        <w:t xml:space="preserve">Qué nos llevamos y cómo reproducirlo</w:t>
      </w:r>
    </w:p>
    <w:p>
      <w:r>
        <w:t xml:space="preserve">Dejamos 45 iteraciones y memoria activa como referencia, no como un óptimo demostrado. Probamos una revisión de finalización, pero no mostró una ventaja consistente y quedó desactivada. También descartamos como base la parada asistida por check_goal, porque no demuestra reconocimiento autónomo del éxito. Con tres repeticiones todavía hay variabilidad; el principal pendiente es cortar los bucles y finalizar usando las observaciones del agente.</w:t>
      </w:r>
    </w:p>
    <w:p>
      <w:pPr>
        <w:pStyle w:val="Small"/>
      </w:pPr>
      <w:r>
        <w:t xml:space="preserve">Desde la raíz del proyecto:</w:t>
      </w:r>
    </w:p>
    <w:p>
      <w:pPr>
        <w:pStyle w:val="Code"/>
      </w:pPr>
      <w:r>
        <w:t xml:space="preserve">python -m eval.run --experiments experiments/iterations.json</w:t>
      </w:r>
    </w:p>
    <w:p>
      <w:pPr>
        <w:pStyle w:val="Code"/>
      </w:pPr>
      <w:r>
        <w:t xml:space="preserve">python -m eval.run --experiments experiments/memory.json</w:t>
      </w:r>
    </w:p>
    <w:p>
      <w:pPr>
        <w:pStyle w:val="Code"/>
      </w:pPr>
      <w:r>
        <w:t xml:space="preserve">python -m eval.qualitative --results-dir &lt;carpeta_de_corrida&gt;</w:t>
      </w:r>
    </w:p>
    <w:p>
      <w:pPr>
        <w:pStyle w:val="Small"/>
      </w:pPr>
      <w:r>
        <w:t xml:space="preserve">Corridas: iterations/20260909T035926Z-38168abc y memory/20260909T032652Z-733d4b97, bajo eval/results/. Las tablas y el análisis ampliado quedan en eval/analisis_cualitativo_reentrega.md.</w:t>
      </w:r>
    </w:p>
    <w:sectPr>
      <w:footerReference w:type="default" r:id="rIdFooter"/>
      <w:pgSz w:w="11906" w:h="16838"/>
      <w:pgMar w:top="850" w:right="1050" w:bottom="850" w:left="1050" w:header="350" w:footer="3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t>M3 — Reentrega |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es-AR"/>
      </w:rPr>
    </w:rPrDefault>
    <w:pPrDefault>
      <w:pPr>
        <w:spacing w:after="90" w:line="245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after="75"/>
    </w:pPr>
    <w:rPr>
      <w:b/>
      <w:color w:val="203A50"/>
      <w:sz w:val="32"/>
    </w:rPr>
  </w:style>
  <w:style w:type="paragraph" w:styleId="Subtitle">
    <w:name w:val="Subtitle"/>
    <w:pPr>
      <w:spacing w:after="140"/>
    </w:pPr>
    <w:rPr>
      <w:color w:val="5F6B75"/>
      <w:sz w:val="20"/>
    </w:rPr>
  </w:style>
  <w:style w:type="paragraph" w:styleId="Heading1">
    <w:name w:val="heading 1"/>
    <w:pPr>
      <w:keepNext/>
      <w:spacing w:before="110" w:after="70"/>
    </w:pPr>
    <w:rPr>
      <w:b/>
      <w:color w:val="203A50"/>
      <w:sz w:val="24"/>
    </w:rPr>
  </w:style>
  <w:style w:type="paragraph" w:styleId="TableText">
    <w:name w:val="TableText"/>
    <w:pPr>
      <w:spacing w:after="0" w:line="220" w:lineRule="auto"/>
    </w:pPr>
    <w:rPr>
      <w:sz w:val="20"/>
    </w:rPr>
  </w:style>
  <w:style w:type="paragraph" w:styleId="Small">
    <w:name w:val="Small"/>
    <w:pPr>
      <w:spacing w:after="50"/>
    </w:pPr>
    <w:rPr>
      <w:sz w:val="18"/>
    </w:rPr>
  </w:style>
  <w:style w:type="paragraph" w:styleId="Code">
    <w:name w:val="Code"/>
    <w:pPr>
      <w:spacing w:after="20"/>
    </w:pPr>
    <w:rPr>
      <w:rFonts w:ascii="Consolas" w:hAnsi="Consolas"/>
      <w:sz w:val="17"/>
    </w:rPr>
  </w:style>
  <w:style w:type="paragraph" w:styleId="Spacer">
    <w:name w:val="Spacer"/>
    <w:pPr>
      <w:spacing w:after="0" w:line="60" w:lineRule="exact"/>
    </w:pPr>
    <w:rPr>
      <w:sz w:val="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