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SISTEMA 4: INTELIGENCIA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Diseño del Sistema de Adaptación y Vigilancia Estratégica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Synapta — YachaqAI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Validación Cap. 2 (Pérez Ríos / Beer) — VSM Sistema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Nota de Validación: </w:t>
            </w: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Esta fase corresponde al diseño del Sistema 4 (Inteligencia). Su propósito es estructurar la capacidad adaptativa de Synapta enfocándose en el “afuera y el mañana” [1], [2]. El S4 actúa como el sensor de variedad externa y modelador prospectivo de la organizón, asegurando que la startup se anticipe a disrupciones tecnológicas, regulatorias y de mercado antes de que afecten la viabilidad del presente (gobernado por el S3) [2], [5].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Parte 1: Fundamentación y Captura de Variedad Externa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Introducción al diseño del Sistema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Sistema 4 (Inteligencia)</w:t>
      </w:r>
      <w:r>
        <w:rPr>
          <w:rFonts w:ascii="Arial" w:cs="Arial" w:eastAsia="Arial" w:hAnsi="Arial"/>
          <w:sz w:val="22"/>
          <w:szCs w:val="22"/>
        </w:rPr>
        <w:t xml:space="preserve"> de Synapta es el órgano responsable de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adaptación continua</w:t>
      </w:r>
      <w:r>
        <w:rPr>
          <w:rFonts w:ascii="Arial" w:cs="Arial" w:eastAsia="Arial" w:hAnsi="Arial"/>
          <w:sz w:val="22"/>
          <w:szCs w:val="22"/>
        </w:rPr>
        <w:t xml:space="preserve"> de la organización [1]. Su foco de atención no es el funcionamiento cotidiano del “aquí y ahora”, sino la exploración activa y sistemática del “allá y entonces” (los cambios tecnológicos en Inteligencia Artificial, las regulaciones del sistema educativo superior peruano y la evolución del mercado de EdTech en Latinoamérica) [3], [5].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Synapta, el S4 tiene como misión capturar la complejidad y variedad del entorno futuro, procesarla y traducirla en alternativas estratégicas para que la Junta de Fundadores (S5) y la Dirección Operativa (S3) puedan tomar decisiones informadas sobre la viabilidad existencial de la empresa [2], [5]. Físicamente, en las fases iniciales de la startup (Fase 1: MVP de 2-5 personas [9]), el S4 se implementa apoyándose en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Sala de Operaciones Virtual</w:t>
      </w:r>
      <w:r>
        <w:rPr>
          <w:rFonts w:ascii="Arial" w:cs="Arial" w:eastAsia="Arial" w:hAnsi="Arial"/>
          <w:sz w:val="22"/>
          <w:szCs w:val="22"/>
        </w:rPr>
        <w:t xml:space="preserve"> y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Modelos de Simulación Dinámica (M2 y M5)</w:t>
      </w:r>
      <w:r>
        <w:rPr>
          <w:rFonts w:ascii="Arial" w:cs="Arial" w:eastAsia="Arial" w:hAnsi="Arial"/>
          <w:sz w:val="22"/>
          <w:szCs w:val="22"/>
        </w:rPr>
        <w:t xml:space="preserve"> para proyectar escenarios de viabilidad [2], [8].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Asignación de Roles en la Fase 1 (Multiactividad)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Debido a la restricción de recursos humanos en la Fase 1, las funciones del S4 se distribuyen de manera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multiactiva</w:t>
      </w:r>
      <w:r>
        <w:rPr>
          <w:rFonts w:ascii="Arial" w:cs="Arial" w:eastAsia="Arial" w:hAnsi="Arial"/>
          <w:sz w:val="22"/>
          <w:szCs w:val="22"/>
        </w:rPr>
        <w:t xml:space="preserve"> entre los miembros del equipo fundador, quienes actúan como transductores de sus áreas respectivas: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CTO (S4 Técnico):</w:t>
      </w:r>
      <w:r>
        <w:rPr>
          <w:rFonts w:ascii="Arial" w:cs="Arial" w:eastAsia="Arial" w:hAnsi="Arial"/>
          <w:sz w:val="22"/>
          <w:szCs w:val="22"/>
        </w:rPr>
        <w:t xml:space="preserve"> Responsable del radar tecnológico. Monitorea los avances científicos en procesamiento de lenguaje natural (NLP), embeddings, consumo de APIs de IA y el desarrollo de Small Language Models (SLMs).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 of Growth (S4 de Mercado):</w:t>
      </w:r>
      <w:r>
        <w:rPr>
          <w:rFonts w:ascii="Arial" w:cs="Arial" w:eastAsia="Arial" w:hAnsi="Arial"/>
          <w:sz w:val="22"/>
          <w:szCs w:val="22"/>
        </w:rPr>
        <w:t xml:space="preserve"> Responsable del radar comercial y de competidores. Monitorea las estrategias de tracción, Churn, CAC y lanzamientos competitivos en EdTech.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CEO + Asesor Legal Externo (S4 Regulatorio e Institucional):</w:t>
      </w:r>
      <w:r>
        <w:rPr>
          <w:rFonts w:ascii="Arial" w:cs="Arial" w:eastAsia="Arial" w:hAnsi="Arial"/>
          <w:sz w:val="22"/>
          <w:szCs w:val="22"/>
        </w:rPr>
        <w:t xml:space="preserve"> Responsables del radar legal y de licenciamiento. Monitorean las directivas del Diario Oficial El Peruano, resoluciones de SUNEDU y disposiciones de la Autoridad Nacional de Protección de Datos Personales (APDP).</w:t>
      </w:r>
    </w:p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Fundamentación de la necesidad del Sistema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Sistema 3 (Gestión Operativa)</w:t>
      </w:r>
      <w:r>
        <w:rPr>
          <w:rFonts w:ascii="Arial" w:cs="Arial" w:eastAsia="Arial" w:hAnsi="Arial"/>
          <w:sz w:val="22"/>
          <w:szCs w:val="22"/>
        </w:rPr>
        <w:t xml:space="preserve"> está diseñado para optimizar y dar cohesión a las operaciones actuales del Sistema 1 [1]. Sin embargo, el S3 tiene límites estructurales y de capacidad cognitiva que hacen indispensable la existencia de un Sistema 4 independiente: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Sobrecarga Cognitiva (Ley de Miller):</w:t>
      </w:r>
      <w:r>
        <w:rPr>
          <w:rFonts w:ascii="Arial" w:cs="Arial" w:eastAsia="Arial" w:hAnsi="Arial"/>
          <w:sz w:val="22"/>
          <w:szCs w:val="22"/>
        </w:rPr>
        <w:t xml:space="preserve"> El S3 monitorea indicadores de desempeño semanales, cuotas de gasto de APIs en tiempo real y la resolución de incidentes de soporte [8], [17]. Según la Ley de Miller, la capacidad de procesamiento de un tomador de decisiones está limitada a 7 ± 2 fragmentos de información concurrentes [10]. Si el S3 también asumiera la vigilancia de papers, competidores y cambios regulatorios, colapsaría bajo la variedad del entorno, cayendo en la patología de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Hipertrofia del S3</w:t>
      </w:r>
      <w:r>
        <w:rPr>
          <w:rFonts w:ascii="Arial" w:cs="Arial" w:eastAsia="Arial" w:hAnsi="Arial"/>
          <w:sz w:val="22"/>
          <w:szCs w:val="22"/>
        </w:rPr>
        <w:t xml:space="preserve"> [5].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Esquizofrenia de la Gestión (Conflicto Presente-Futuro):</w:t>
      </w:r>
      <w:r>
        <w:rPr>
          <w:rFonts w:ascii="Arial" w:cs="Arial" w:eastAsia="Arial" w:hAnsi="Arial"/>
          <w:sz w:val="22"/>
          <w:szCs w:val="22"/>
        </w:rPr>
        <w:t xml:space="preserve"> Existe una tensión natural entre la estabilidad operativa (minimizar costos, estabilizar el código del sprint en S3) y la adaptación al cambio (migrar de infraestructura, adoptar nuevos LLMs en S4) [21]. El S4 actúa como el contrapeso formal del S3 en el homeostato del metasistema.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Atenuación de Variedad Externa:</w:t>
      </w:r>
      <w:r>
        <w:rPr>
          <w:rFonts w:ascii="Arial" w:cs="Arial" w:eastAsia="Arial" w:hAnsi="Arial"/>
          <w:sz w:val="22"/>
          <w:szCs w:val="22"/>
        </w:rPr>
        <w:t xml:space="preserve"> El S4 funciona como un filtro estratégico. Absorbe y modela la complejidad del mercado y la tecnología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antes</w:t>
      </w:r>
      <w:r>
        <w:rPr>
          <w:rFonts w:ascii="Arial" w:cs="Arial" w:eastAsia="Arial" w:hAnsi="Arial"/>
          <w:sz w:val="22"/>
          <w:szCs w:val="22"/>
        </w:rPr>
        <w:t xml:space="preserve"> de que golpee al S3. Sin este filtro, el metasistema operaría de forma puramente reactiva ante crisis [4], [7].</w:t>
      </w:r>
    </w:p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Diseño del sistema de vigilancia del entorno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vigilar el entorno EdTech en el Perú y LATAM, el S4 de Synapta implementa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radares estratégicos</w:t>
      </w:r>
      <w:r>
        <w:rPr>
          <w:rFonts w:ascii="Arial" w:cs="Arial" w:eastAsia="Arial" w:hAnsi="Arial"/>
          <w:sz w:val="22"/>
          <w:szCs w:val="22"/>
        </w:rPr>
        <w:t xml:space="preserve"> compuestos por sensores y transductores específicos organizados en dos bucles homeostáticos fundamentales: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Los Dos Lazos Homeostáticos del S4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Lazo Homeostático S4 — Entorno Presente:</w:t>
      </w:r>
      <w:r>
        <w:rPr>
          <w:rFonts w:ascii="Arial" w:cs="Arial" w:eastAsia="Arial" w:hAnsi="Arial"/>
          <w:sz w:val="22"/>
          <w:szCs w:val="22"/>
        </w:rPr>
        <w:t xml:space="preserve"> Regula el acoplamiento táctico y tecnológico inmediato. Su sensor es la telemetría automatizada del rendimiento de la app (latencia RAG, errores de API en Supabase/Sentry) y alertas de competidores inmediatos. Traduce las anomalías en el backlog de la semana (sprint). Su cadencia es diaria o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Lazo Homeostático S4 — Entorno Futuro:</w:t>
      </w:r>
      <w:r>
        <w:rPr>
          <w:rFonts w:ascii="Arial" w:cs="Arial" w:eastAsia="Arial" w:hAnsi="Arial"/>
          <w:sz w:val="22"/>
          <w:szCs w:val="22"/>
        </w:rPr>
        <w:t xml:space="preserve"> Regula la viabilidad estratégica de mediano y largo plazo (2–5 años). Sus sensores son boletines de SUNEDU, papers de arXiv, reportes del Banco Mundial y tendencias de adopción de SLMs locales. Traduce estas tendencias en simulaciones dinámicas y planes estratégicos plurianuales. Su cadencia es semanal o mensual.</w:t>
      </w:r>
    </w:p>
    <w:p>
      <w:pPr>
        <w:spacing w:after="120"/>
      </w:pP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1: Lazos Homeostáticos del S4 — Sensores, Transductores e Integración</w:t>
      </w:r>
    </w:p>
    <w:p>
      <w:pPr>
        <w:spacing w:after="20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Radares Estrégicos de Vigilancia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Radar Tecnológico (IA y Arquitectura de Software):</w:t>
      </w:r>
      <w:r>
        <w:rPr>
          <w:rFonts w:ascii="Arial" w:cs="Arial" w:eastAsia="Arial" w:hAnsi="Arial"/>
          <w:sz w:val="22"/>
          <w:szCs w:val="22"/>
        </w:rPr>
        <w:t xml:space="preserve"> Monitorea la relación costo/rendimiento de modelos fundacionales, APIs de parsers estructurados y algoritmos de repetición espaciada (SRS).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Radar Regulatorio e Institucional (SUNEDU y Privacidad):</w:t>
      </w:r>
      <w:r>
        <w:rPr>
          <w:rFonts w:ascii="Arial" w:cs="Arial" w:eastAsia="Arial" w:hAnsi="Arial"/>
          <w:sz w:val="22"/>
          <w:szCs w:val="22"/>
        </w:rPr>
        <w:t xml:space="preserve"> Vigila las normativas sobre acreditación de programas híbridos/virtuales en Perú y las directivas de la Autoridad Nacional de Protección de Datos Personales (APDP).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Radar de Mercado y Competidores (EdTech):</w:t>
      </w:r>
      <w:r>
        <w:rPr>
          <w:rFonts w:ascii="Arial" w:cs="Arial" w:eastAsia="Arial" w:hAnsi="Arial"/>
          <w:sz w:val="22"/>
          <w:szCs w:val="22"/>
        </w:rPr>
        <w:t xml:space="preserve"> Monitorea las estrategias de monetización y características de competidores directos/indirectos (NotebookLM, Anki, RemNote y otros gestores de notas locales).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Matriz de Sensores, Transductores, Capacidad y Cadencia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700"/>
        <w:gridCol w:w="1300"/>
        <w:gridCol w:w="1926"/>
        <w:gridCol w:w="1300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(Responsable VSM)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Fuentes de Datos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Cadencia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Transductor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Tecnológica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CTO (Sensor S4 Técnico)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 arXiv (cs.CL), Vertex AI Pricing Console, Logs Supabase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Diaria / Continua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Traduce métricas técnicas a costo financiero por usuario activo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Hasta 50,000 eventos de telemetría/día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Regulatoria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Sales + Asesor Legal Externo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Diario Oficial El Peruano, Resoluciones SUNEDU, Directivas APDP (Ley 29733)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Semanal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Traduce leyes a requisitos técnicos en el backlog de Ingeniería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Máx. 3 reportes legales/semana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Mercado y Competencia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Growth (Sensor S4 de Mercado)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Foros EdTech Latam, Google Alerts, Onboarding feedback YachaqAI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Semanal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Traduce movimientos de competidores en hipótesis de producto y variaciones del CAC/LTV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Máx. 5 análisis de competidores/mes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Benchmarking Multidimensional de Competidores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realizar una planeación estratégica robusta en el S4, es vital aclarar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NotebookLM no representa la competencia directa de YachaqAI</w:t>
      </w:r>
      <w:r>
        <w:rPr>
          <w:rFonts w:ascii="Arial" w:cs="Arial" w:eastAsia="Arial" w:hAnsi="Arial"/>
          <w:sz w:val="22"/>
          <w:szCs w:val="22"/>
        </w:rPr>
        <w:t xml:space="preserve">, sino un competidor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indirecto</w:t>
      </w:r>
      <w:r>
        <w:rPr>
          <w:rFonts w:ascii="Arial" w:cs="Arial" w:eastAsia="Arial" w:hAnsi="Arial"/>
          <w:sz w:val="22"/>
          <w:szCs w:val="22"/>
        </w:rPr>
        <w:t xml:space="preserve"> en la categoría de lectura asistida por IA. Los competidores directos en productividad académica y retención activa son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Anki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RemNote</w:t>
      </w:r>
      <w:r>
        <w:rPr>
          <w:rFonts w:ascii="Arial" w:cs="Arial" w:eastAsia="Arial" w:hAnsi="Arial"/>
          <w:sz w:val="22"/>
          <w:szCs w:val="22"/>
        </w:rPr>
        <w:t xml:space="preserve">, mientras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Notion AI</w:t>
      </w:r>
      <w:r>
        <w:rPr>
          <w:rFonts w:ascii="Arial" w:cs="Arial" w:eastAsia="Arial" w:hAnsi="Arial"/>
          <w:sz w:val="22"/>
          <w:szCs w:val="22"/>
        </w:rPr>
        <w:t xml:space="preserve"> lidera la gestión general de apuntes en la nube.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350"/>
        <w:gridCol w:w="1350"/>
        <w:gridCol w:w="1350"/>
        <w:gridCol w:w="1700"/>
        <w:gridCol w:w="1626"/>
      </w:tblGrid>
      <w:tr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Anki (Directo)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RemNote (Directo)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 AI (Directo)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NotebookLM (Indirecto)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YachaqAI (Synapta)</w:t>
            </w:r>
          </w:p>
        </w:tc>
      </w:tr>
      <w:tr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Enfoque Pedagógico Core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Repetición Espaciada (SRS) pura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SRS + Toma de apuntes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Toma de notas general y base de conocimiento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Síntesis, resúmenes y chat sobre documentos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Estudio Activo e Interacción Pedagógica (LMS + SRS)</w:t>
            </w:r>
          </w:p>
        </w:tc>
      </w:tr>
      <w:tr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Algoritmo de Retención Activa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SM-2 tradicional o FSRS manual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Algoritmo propietario basado en SM-2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posee algoritmo de retención activa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posee algoritmo de retención activa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FSRS integrado con propagación en Grafo de Conocimiento</w:t>
            </w:r>
          </w:p>
        </w:tc>
      </w:tr>
      <w:tr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Esfuerzo de Creación de Contenido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Muy Alto (Manual tarjeta por tarjeta)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Medio (Generación automática con IA)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(Manual, con plantillas rudimentarias)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Bajo (Genera guías automáticas, pero no repasos interactivos)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Muy Bajo (Ingesta inteligente LlamaParse + auto-generación flashcards)</w:t>
            </w:r>
          </w:p>
        </w:tc>
      </w:tr>
      <w:tr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Portabilidad y Soberánía de Datos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Propietario (SQLite local .apkg)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Cerrado (BD propietaria en su nube)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Cerrado (Vendor Lock-in, exportaciones defectuosas)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Cerrado (Datos cautivos en Google Drive)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Abierto (Markdown libre y exportable para uso personal)</w:t>
            </w:r>
          </w:p>
        </w:tc>
      </w:tr>
      <w:tr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Privacidad y Cumplimiento (Ley N° 29733)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(seguro, sin colaboración web nativa)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Nube EE.UU.; políticas estándar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Nube centralizada; datos pueden usarse para entrenamiento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Nube Google; entrena modelos con datos subidos (versión estándar)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Local-First (Ollama) y Nube Empresarial con garantía de no-entrenamiento</w:t>
            </w:r>
          </w:p>
        </w:tc>
      </w:tr>
      <w:tr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Módulo Analítico e Integración LMS (Canvas/Moodle)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posee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posee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posee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posee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 (B2B institucional: indicadores de retención + integración LTI con Canvas/Moodle)</w:t>
            </w:r>
          </w:p>
        </w:tc>
      </w:tr>
    </w:tbl>
    <w:p>
      <w:pPr>
        <w:spacing w:after="120"/>
      </w:pPr>
    </w:p>
    <w:p>
      <w:pPr>
        <w:pStyle w:val="Heading4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Ventajas Competitivas Clave de YachaqAI (Foco Estratégico S4)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Homeostato Docente-Estudiante (B2B2C):</w:t>
      </w:r>
      <w:r>
        <w:rPr>
          <w:rFonts w:ascii="Arial" w:cs="Arial" w:eastAsia="Arial" w:hAnsi="Arial"/>
          <w:sz w:val="22"/>
          <w:szCs w:val="22"/>
        </w:rPr>
        <w:t xml:space="preserve"> A diferencia de todas las herramientas anteriores, YachaqAI integra a las autoridades académicas a través de informes agregados (anonimizados) sobre los conceptos donde los estudiantes muestran mayor dificultad (Panel 1 de S3), previniendo activamente la deserción universitaria exigida por SUNEDU [3].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Propagación en Grafo Semántico:</w:t>
      </w:r>
      <w:r>
        <w:rPr>
          <w:rFonts w:ascii="Arial" w:cs="Arial" w:eastAsia="Arial" w:hAnsi="Arial"/>
          <w:sz w:val="22"/>
          <w:szCs w:val="22"/>
        </w:rPr>
        <w:t xml:space="preserve"> En YachaqAI, si un estudiante demuestra dominio sobre el concepto “Mitosis”, el algoritmo FSRS propaga automáticamente una actualización de maestría a los conceptos hijos y relacionados (“Profase”, “Anafase”) en el grafo de conocimiento. Anki o RemNote tratan las tarjetas de forma aislada e inconexa.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Local-First y Cumplimiento de Privacidad de Datos:</w:t>
      </w:r>
      <w:r>
        <w:rPr>
          <w:rFonts w:ascii="Arial" w:cs="Arial" w:eastAsia="Arial" w:hAnsi="Arial"/>
          <w:sz w:val="22"/>
          <w:szCs w:val="22"/>
        </w:rPr>
        <w:t xml:space="preserve"> La opción de ejecutar modelos de lenguaje locales (vía Ollama) sin conexión a internet amplía la variedad de cumplimiento normativo institucional, atrayendo a universidades peruanas reticentes a compartir propiedad intelectual académica o registros de menores con nubes extranjeras [22].</w:t>
      </w:r>
    </w:p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Parte 2: Modelado y Proyección Sistemática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Diseño del sistema de inteligencia estratégica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de inteligencia estratégica es el encargado de consolidar la información de los radares y procesarla dentro de un entorno de decisión interactivo: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Sala de Operaciones Virtual (Operations Room)</w:t>
      </w:r>
      <w:r>
        <w:rPr>
          <w:rFonts w:ascii="Arial" w:cs="Arial" w:eastAsia="Arial" w:hAnsi="Arial"/>
          <w:sz w:val="22"/>
          <w:szCs w:val="22"/>
        </w:rPr>
        <w:t xml:space="preserve"> [17].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La Sala de Operaciones (Operations Room) y sus 5 Pantallas</w:t>
      </w:r>
    </w:p>
    <w:p>
      <w:pPr>
        <w:pStyle w:val="Heading4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Justificación y Diseño Teórico de la Sala de Operaciones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la perspectiva de la cibernética organizacional y siguiendo las directrices de José Pérez Ríos [2] y Stafford Beer [1],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Sala de Operaciones Virtual</w:t>
      </w:r>
      <w:r>
        <w:rPr>
          <w:rFonts w:ascii="Arial" w:cs="Arial" w:eastAsia="Arial" w:hAnsi="Arial"/>
          <w:sz w:val="22"/>
          <w:szCs w:val="22"/>
        </w:rPr>
        <w:t xml:space="preserve"> no es un simple tablero de control visual; es un espacio cibernético estructurado para asistir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Metasistema (Sistemas 3, 4 y 5)</w:t>
      </w:r>
      <w:r>
        <w:rPr>
          <w:rFonts w:ascii="Arial" w:cs="Arial" w:eastAsia="Arial" w:hAnsi="Arial"/>
          <w:sz w:val="22"/>
          <w:szCs w:val="22"/>
        </w:rPr>
        <w:t xml:space="preserve">. Su propósito fundamental 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atenuar y estructurar la variedad de datos brutos</w:t>
      </w:r>
      <w:r>
        <w:rPr>
          <w:rFonts w:ascii="Arial" w:cs="Arial" w:eastAsia="Arial" w:hAnsi="Arial"/>
          <w:sz w:val="22"/>
          <w:szCs w:val="22"/>
        </w:rPr>
        <w:t xml:space="preserve">, convirtiéndola en información inteligible sobre tres horizontes temporales (pasado, presente y futuro) para orientar el equilibrio adaptativo de la organización [2], [4].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diseño aborda directamente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Ley de Miller</w:t>
      </w:r>
      <w:r>
        <w:rPr>
          <w:rFonts w:ascii="Arial" w:cs="Arial" w:eastAsia="Arial" w:hAnsi="Arial"/>
          <w:sz w:val="22"/>
          <w:szCs w:val="22"/>
        </w:rPr>
        <w:t xml:space="preserve"> sobre los límites del procesamiento de la atención humana (7 ± 2 fragmentos cognitivos concurrentes) [10]. Al filtrar la complejidad del entorno a través de sensores específicos y transductores automatizados, la Sala de Operaciones evita que el Sistema 3 (Gestión Operativa) colapse bajo la patología de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Hipertrofia del S3</w:t>
      </w:r>
      <w:r>
        <w:rPr>
          <w:rFonts w:ascii="Arial" w:cs="Arial" w:eastAsia="Arial" w:hAnsi="Arial"/>
          <w:sz w:val="22"/>
          <w:szCs w:val="22"/>
        </w:rPr>
        <w:t xml:space="preserve"> (microgestión desestructurada) [5]. Asimismo, actúa como el soporte físico e informático del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Homeostato S3-S4</w:t>
      </w:r>
      <w:r>
        <w:rPr>
          <w:rFonts w:ascii="Arial" w:cs="Arial" w:eastAsia="Arial" w:hAnsi="Arial"/>
          <w:sz w:val="22"/>
          <w:szCs w:val="22"/>
        </w:rPr>
        <w:t xml:space="preserve">, regulando la tensión natural entre la estabilidad de la operación (“aquí y ahora”) y la necesidad de cambio para la adaptación (“afuera y mañana”) [2], [7].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acuerdo con el marco del MSV, la Sala de Operaciones Virtual se organiza estrictamente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pantallas interactivas</w:t>
      </w:r>
      <w:r>
        <w:rPr>
          <w:rFonts w:ascii="Arial" w:cs="Arial" w:eastAsia="Arial" w:hAnsi="Arial"/>
          <w:sz w:val="22"/>
          <w:szCs w:val="22"/>
        </w:rPr>
        <w:t xml:space="preserve"> especializadas: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1 — El Presente (Desempeño Operativo y Semáforos de S3): </w:t>
      </w:r>
      <w:r>
        <w:rPr>
          <w:rFonts w:ascii="Arial" w:cs="Arial" w:eastAsia="Arial" w:hAnsi="Arial"/>
          <w:sz w:val="22"/>
          <w:szCs w:val="22"/>
        </w:rPr>
        <w:t xml:space="preserve">Regula la viabilidad del día a día mediante el principio de "gestión por excepción". Utiliza un sistema visual de semáforos tricolores (verde, amarillo, rojo) [2], [18]. Muestra variables del Sistema 2 como el Uptime de servicios (UptimeRobot) [17], tasa de excepciones (Sentry) [17], consumo en tiempo real de APIs [13], [14] y WAU / retención D7 de PostHog/Google Analytics [11].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2 — El Pasado (Tendencias y Auditoría de S3*): </w:t>
      </w:r>
      <w:r>
        <w:rPr>
          <w:rFonts w:ascii="Arial" w:cs="Arial" w:eastAsia="Arial" w:hAnsi="Arial"/>
          <w:sz w:val="22"/>
          <w:szCs w:val="22"/>
        </w:rPr>
        <w:t xml:space="preserve">Provee el contexto histórico del comportamiento del sistema para identificar patrones recurrentes, ciclos de estacionalidad académica y deudas técnicas acumuladas [2], [10]. Despliega curvas de WAU, Costo de APIs, Churn y el historial de auditorías del canal S3* [2], [16].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3 — El Futuro y Simulación (Prospectiva de S4): </w:t>
      </w:r>
      <w:r>
        <w:rPr>
          <w:rFonts w:ascii="Arial" w:cs="Arial" w:eastAsia="Arial" w:hAnsi="Arial"/>
          <w:sz w:val="22"/>
          <w:szCs w:val="22"/>
        </w:rPr>
        <w:t xml:space="preserve">Es el motor del Sistema 4. Permite simular el impacto de decisiones alternativas frente a variaciones dinámicas del entorno (“What-if”) mediante Dinámica de Sistemas (Vensim, Ithink o Google Sheets) [2], [8]. Aloja el Modelo M1 (costo y escala) [13], [14], Modelo M2 (pérdida de pilotos B2B) [8], Modelo M3 (disponibilidad) [9] y el Modelo M5 (regulaciones SUNEDU a 5 años) [3], [24].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4 — El Modelo Ciberténico (VSMod®): </w:t>
      </w:r>
      <w:r>
        <w:rPr>
          <w:rFonts w:ascii="Arial" w:cs="Arial" w:eastAsia="Arial" w:hAnsi="Arial"/>
          <w:sz w:val="22"/>
          <w:szCs w:val="22"/>
        </w:rPr>
        <w:t xml:space="preserve">Provee una representación topológica e interactiva de la estructura de la organización en todos sus niveles de recursión (Ingeniería, Growth, Ventas y Soporte), visualizando el estado de los canales de comunicación, transducción y patologías en los homeostatos [2], [5].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5 — Información Complementaria (Vigilancia del Entorno): </w:t>
      </w:r>
      <w:r>
        <w:rPr>
          <w:rFonts w:ascii="Arial" w:cs="Arial" w:eastAsia="Arial" w:hAnsi="Arial"/>
          <w:sz w:val="22"/>
          <w:szCs w:val="22"/>
        </w:rPr>
        <w:t xml:space="preserve">Filtra la variedad del entorno externo mediante feeds de arXiv (NLP/RAG) [13], alertas de SUNEDU/APDP (Ley N° 29733) [22], [23], matrices cualitativas de competidores (Anki, RemNote, Notion AI) [25] e hilos de retroalimentación de Discord.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El Bucle de Escalamiento Algedónico del S4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un sensor de S4 detecta una disrupción crítica en el entorno que amenaza la viabilidad general de la empresa, el S4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puentea al S3</w:t>
      </w:r>
      <w:r>
        <w:rPr>
          <w:rFonts w:ascii="Arial" w:cs="Arial" w:eastAsia="Arial" w:hAnsi="Arial"/>
          <w:sz w:val="22"/>
          <w:szCs w:val="22"/>
        </w:rPr>
        <w:t xml:space="preserve"> y gatilla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Alerta Algedónica Estratégica</w:t>
      </w:r>
      <w:r>
        <w:rPr>
          <w:rFonts w:ascii="Arial" w:cs="Arial" w:eastAsia="Arial" w:hAnsi="Arial"/>
          <w:sz w:val="22"/>
          <w:szCs w:val="22"/>
        </w:rPr>
        <w:t xml:space="preserve"> directa a la Junta de Fundadores (S5) utilizando el canal algedónico de comunicación de emergencia, convocando a una sesión de rediseño de identidad organizacional de manera inmediata [1], [18].</w:t>
      </w:r>
    </w:p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Diseño del sistema de prospectiva y escenarios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tomar decisiones basadas en datos y no en intuiciones subjetivas, el S4 de Synapta utiliza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Modelos de Simulación Dinámica</w:t>
      </w:r>
      <w:r>
        <w:rPr>
          <w:rFonts w:ascii="Arial" w:cs="Arial" w:eastAsia="Arial" w:hAnsi="Arial"/>
          <w:sz w:val="22"/>
          <w:szCs w:val="22"/>
        </w:rPr>
        <w:t xml:space="preserve"> recomendados por José Pérez Ríos [2], [5]. Estos modelos permiten evaluar el impacto de variables externas a través de escenarios “qué pasaría si” (What-if) [2], [5].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Modelo M2 (Impacto de Pérdida del Piloto B2B)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modelo evalúa la vulnerabilidad de la tracción inicial de YachaqAI frente al abandono o cancelación por parte de docentes clave en universidades peruanas [3].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Lógica del Modelo:</w:t>
      </w:r>
      <w:r>
        <w:rPr>
          <w:rFonts w:ascii="Arial" w:cs="Arial" w:eastAsia="Arial" w:hAnsi="Arial"/>
          <w:sz w:val="22"/>
          <w:szCs w:val="22"/>
        </w:rPr>
        <w:t xml:space="preserve"> Simula el impacto en cascada sobre los estudiantes cuando un docente cancela la participación en el piloto.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 de Entrada: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Tasa de recomendación docente en aula:</w:t>
      </w:r>
      <w:r>
        <w:rPr>
          <w:rFonts w:ascii="Arial" w:cs="Arial" w:eastAsia="Arial" w:hAnsi="Arial"/>
          <w:sz w:val="22"/>
          <w:szCs w:val="22"/>
        </w:rPr>
        <w:t xml:space="preserve"> 30%. Justificación: Benchmarks de adopción en pilotos académicos demuestran que el aval del docente impulsa entre un 25% y un 35% del registro inicial en modelos B2B2C universitarios.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Tasa de retención de estudiantes tras la salida del docente:</w:t>
      </w:r>
      <w:r>
        <w:rPr>
          <w:rFonts w:ascii="Arial" w:cs="Arial" w:eastAsia="Arial" w:hAnsi="Arial"/>
          <w:sz w:val="22"/>
          <w:szCs w:val="22"/>
        </w:rPr>
        <w:t xml:space="preserve"> 50%. Justificación: Al retirar la obligatoriedad académica, la tasa de uso decae en un 50% para usuarios comunes.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Semanas de retraso para captar un docente de reemplazo:</w:t>
      </w:r>
      <w:r>
        <w:rPr>
          <w:rFonts w:ascii="Arial" w:cs="Arial" w:eastAsia="Arial" w:hAnsi="Arial"/>
          <w:sz w:val="22"/>
          <w:szCs w:val="22"/>
        </w:rPr>
        <w:t xml:space="preserve"> 8 semanas. Justificación: Ciclo promedio de onboarding en pilotos institucionales en Perú.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 de Salida: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Caída proyectada de Usuarios Activos Semanales (WAU) el mes siguiente a la cancelación.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Costo de Adquisición de Clientes (CAC) adicional necesario para compensar la caída con pauta B2C [8].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Pre-diseñadas: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Gatillo Algedónico:</w:t>
      </w:r>
      <w:r>
        <w:rPr>
          <w:rFonts w:ascii="Arial" w:cs="Arial" w:eastAsia="Arial" w:hAnsi="Arial"/>
          <w:sz w:val="22"/>
          <w:szCs w:val="22"/>
        </w:rPr>
        <w:t xml:space="preserve"> Si el M2 proyecta una caída de WAU &gt; 20% en el mes siguiente, activar inmediatamente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Protocolo C (Cancelación de Piloto)</w:t>
      </w:r>
      <w:r>
        <w:rPr>
          <w:rFonts w:ascii="Arial" w:cs="Arial" w:eastAsia="Arial" w:hAnsi="Arial"/>
          <w:sz w:val="22"/>
          <w:szCs w:val="22"/>
        </w:rPr>
        <w:t xml:space="preserve"> en S1.3 [11].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Modelo M5 (Penetración de Mercado y Regulaciones SUNEDU)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Simula a 5 años la sostenibilidad financiera de Synapta ante variaciones en el mercado de educación virtual en el Perú y restricciones del ente regulador [3].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Lógica del Modelo:</w:t>
      </w:r>
      <w:r>
        <w:rPr>
          <w:rFonts w:ascii="Arial" w:cs="Arial" w:eastAsia="Arial" w:hAnsi="Arial"/>
          <w:sz w:val="22"/>
          <w:szCs w:val="22"/>
        </w:rPr>
        <w:t xml:space="preserve"> Modelo cuantitativo de Dinámica de Sistemas que evalúa el punto de equilibrio financiero frente a la adopción de competidores y el endurecimiento de normativas de calidad universitaria de SUNEDU.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 de Entrada: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Matrícula total universitaria nacional:</w:t>
      </w:r>
      <w:r>
        <w:rPr>
          <w:rFonts w:ascii="Arial" w:cs="Arial" w:eastAsia="Arial" w:hAnsi="Arial"/>
          <w:sz w:val="22"/>
          <w:szCs w:val="22"/>
        </w:rPr>
        <w:t xml:space="preserve"> 1.2M de estudiantes en pregrado y posgrado en universidades peruanas licenciadas (SUNEDU SIU [4]).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Tasa anual de crecimiento de educación virtual/semipresencial:</w:t>
      </w:r>
      <w:r>
        <w:rPr>
          <w:rFonts w:ascii="Arial" w:cs="Arial" w:eastAsia="Arial" w:hAnsi="Arial"/>
          <w:sz w:val="22"/>
          <w:szCs w:val="22"/>
        </w:rPr>
        <w:t xml:space="preserve"> 8.5% anual. Justificación: incremento del 25% general y 38% en privadas tras la hibridación posandemia [24].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Tasa anual de penetración proyectada de competidores EdTech:</w:t>
      </w:r>
      <w:r>
        <w:rPr>
          <w:rFonts w:ascii="Arial" w:cs="Arial" w:eastAsia="Arial" w:hAnsi="Arial"/>
          <w:sz w:val="22"/>
          <w:szCs w:val="22"/>
        </w:rPr>
        <w:t xml:space="preserve"> 5.0%. Justificación: Cifras de penetración inicial de software académico en LATAM (HolonIQ [25]), entre 3% y 7% anual en los primeros 3 años.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Probabilidad de endurecimiento regulatorio de SUNEDU:</w:t>
      </w:r>
      <w:r>
        <w:rPr>
          <w:rFonts w:ascii="Arial" w:cs="Arial" w:eastAsia="Arial" w:hAnsi="Arial"/>
          <w:sz w:val="22"/>
          <w:szCs w:val="22"/>
        </w:rPr>
        <w:t xml:space="preserve"> 40%. Justificación: Calibrado según el histórico de SUNEDU que registra 2–3 modificaciones normativas mayores en cada periodo de 5 años [3].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Pre-diseñadas: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Gatillo Algedónico:</w:t>
      </w:r>
      <w:r>
        <w:rPr>
          <w:rFonts w:ascii="Arial" w:cs="Arial" w:eastAsia="Arial" w:hAnsi="Arial"/>
          <w:sz w:val="22"/>
          <w:szCs w:val="22"/>
        </w:rPr>
        <w:t xml:space="preserve"> Si la probabilidad de cambio regulatorio en el M5 supera el 60%, el S4 instruye al backlog de Ingeniería iniciar el desarrollo de un módulo de compatibilidad fuera de línea y exportador de evidencias en PDF [3], [23].</w:t>
      </w:r>
    </w:p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Preparación ante Disrupciones Tecnológicas y de Mercado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asegurar la adaptabilidad, se pre-diseñan dos planes estratégicos ante disrupciones simuladas en el S4: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Disrupción A: Google NotebookLM lanza una versión corporativa gratuita para universidades SUNEDU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del Entorno (S4):</w:t>
      </w:r>
      <w:r>
        <w:rPr>
          <w:rFonts w:ascii="Arial" w:cs="Arial" w:eastAsia="Arial" w:hAnsi="Arial"/>
          <w:sz w:val="22"/>
          <w:szCs w:val="22"/>
        </w:rPr>
        <w:t xml:space="preserve"> Google cuenta con ventajas de capital y modelos de gran escala. Sin embargo, NotebookLM es un sistema cerrado (“Vendor Lock-in”) que no permite exportar notas en formato abierto y restringe la privacidad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de Adaptación: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Diferenciación del Ethos (S5):</w:t>
      </w:r>
      <w:r>
        <w:rPr>
          <w:rFonts w:ascii="Arial" w:cs="Arial" w:eastAsia="Arial" w:hAnsi="Arial"/>
          <w:sz w:val="22"/>
          <w:szCs w:val="22"/>
        </w:rPr>
        <w:t xml:space="preserve"> Reforzar en la marca el valor de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portabilidad absoluta (Markdown libre y exportable)</w:t>
      </w:r>
      <w:r>
        <w:rPr>
          <w:rFonts w:ascii="Arial" w:cs="Arial" w:eastAsia="Arial" w:hAnsi="Arial"/>
          <w:sz w:val="22"/>
          <w:szCs w:val="22"/>
        </w:rPr>
        <w:t xml:space="preserve"> y la privacidad de datos personales bajo la Ley N° 29733 [22].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Calibración Técica (S1.1):</w:t>
      </w:r>
      <w:r>
        <w:rPr>
          <w:rFonts w:ascii="Arial" w:cs="Arial" w:eastAsia="Arial" w:hAnsi="Arial"/>
          <w:sz w:val="22"/>
          <w:szCs w:val="22"/>
        </w:rPr>
        <w:t xml:space="preserve"> Integrar de forma prioritaria el algoritmo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FSRS local (offline)</w:t>
      </w:r>
      <w:r>
        <w:rPr>
          <w:rFonts w:ascii="Arial" w:cs="Arial" w:eastAsia="Arial" w:hAnsi="Arial"/>
          <w:sz w:val="22"/>
          <w:szCs w:val="22"/>
        </w:rPr>
        <w:t xml:space="preserve"> [12]. NotebookLM no cuenta con motores de repetición espaciada científica; YachaqAI se posiciona como el motor dinámico de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retención</w:t>
      </w:r>
      <w:r>
        <w:rPr>
          <w:rFonts w:ascii="Arial" w:cs="Arial" w:eastAsia="Arial" w:hAnsi="Arial"/>
          <w:sz w:val="22"/>
          <w:szCs w:val="22"/>
        </w:rPr>
        <w:t xml:space="preserve">, no solo de consulta pasiva.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Disrupción B: SUNEDU prohíbe el uso de IAs generativas en tareas académicas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del Entorno (S4):</w:t>
      </w:r>
      <w:r>
        <w:rPr>
          <w:rFonts w:ascii="Arial" w:cs="Arial" w:eastAsia="Arial" w:hAnsi="Arial"/>
          <w:sz w:val="22"/>
          <w:szCs w:val="22"/>
        </w:rPr>
        <w:t xml:space="preserve"> Un cambio regulatorio de esta escala desataría el pánico en las universidades aliadas (B2B), que cancelarían contratos de software para evitar sanciones.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de Adaptación: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Pivote de Producto (S1.1/S1.3):</w:t>
      </w:r>
      <w:r>
        <w:rPr>
          <w:rFonts w:ascii="Arial" w:cs="Arial" w:eastAsia="Arial" w:hAnsi="Arial"/>
          <w:sz w:val="22"/>
          <w:szCs w:val="22"/>
        </w:rPr>
        <w:t xml:space="preserve"> Desactivar de forma inmediata las funciones de generación de resúmenes por IA (RAG de escritura) en las licencias institucionales B2B.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Rediseño de Propuesta de Valor (S5):</w:t>
      </w:r>
      <w:r>
        <w:rPr>
          <w:rFonts w:ascii="Arial" w:cs="Arial" w:eastAsia="Arial" w:hAnsi="Arial"/>
          <w:sz w:val="22"/>
          <w:szCs w:val="22"/>
        </w:rPr>
        <w:t xml:space="preserve"> Re-enfocar a YachaqAI exclusivamente como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plataforma de repaso activo y evaluación adaptativa</w:t>
      </w:r>
      <w:r>
        <w:rPr>
          <w:rFonts w:ascii="Arial" w:cs="Arial" w:eastAsia="Arial" w:hAnsi="Arial"/>
          <w:sz w:val="22"/>
          <w:szCs w:val="22"/>
        </w:rPr>
        <w:t xml:space="preserve">. La IA no escribe los trabajos del estudiante; en su lugar,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interroga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evalúa</w:t>
      </w:r>
      <w:r>
        <w:rPr>
          <w:rFonts w:ascii="Arial" w:cs="Arial" w:eastAsia="Arial" w:hAnsi="Arial"/>
          <w:sz w:val="22"/>
          <w:szCs w:val="22"/>
        </w:rPr>
        <w:t xml:space="preserve"> la retención del alumno sobre los materiales de clase. Se presenta ante SUNEDU como herramienta de combate contra el plagio por IA.</w:t>
      </w:r>
    </w:p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Parte 3: Principios Cibertéticos y Leyes del Metasistema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Aplicación de la Ley de Ashby (Variedad Requerida)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Ley de Ashby</w:t>
      </w:r>
      <w:r>
        <w:rPr>
          <w:rFonts w:ascii="Arial" w:cs="Arial" w:eastAsia="Arial" w:hAnsi="Arial"/>
          <w:sz w:val="22"/>
          <w:szCs w:val="22"/>
        </w:rPr>
        <w:t xml:space="preserve"> establece que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“solo la variedad puede absorber variedad”</w:t>
      </w:r>
      <w:r>
        <w:rPr>
          <w:rFonts w:ascii="Arial" w:cs="Arial" w:eastAsia="Arial" w:hAnsi="Arial"/>
          <w:sz w:val="22"/>
          <w:szCs w:val="22"/>
        </w:rPr>
        <w:t xml:space="preserve"> [4]. El S4 de Synapta aplica esta ley equilibrando la inmensa complejidad del entorno EdTech mediante atenuadores y amplificadores específicos de variedad: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Atenuadores de Variedad Externa (Filtros de Complejidad):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Filtro arXiv:</w:t>
      </w:r>
      <w:r>
        <w:rPr>
          <w:rFonts w:ascii="Arial" w:cs="Arial" w:eastAsia="Arial" w:hAnsi="Arial"/>
          <w:sz w:val="22"/>
          <w:szCs w:val="22"/>
        </w:rPr>
        <w:t xml:space="preserve"> El CTO atenúa la variedad científica diaria filtrando las publicaciones de NLP a través de palabras clave estrictas (RAG, FSRS, local-LLM), reduciendo más de 100 papers diarios a solo 2 o 3 con potencial real de aplicación.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Filtro Legal:</w:t>
      </w:r>
      <w:r>
        <w:rPr>
          <w:rFonts w:ascii="Arial" w:cs="Arial" w:eastAsia="Arial" w:hAnsi="Arial"/>
          <w:sz w:val="22"/>
          <w:szCs w:val="22"/>
        </w:rPr>
        <w:t xml:space="preserve"> El asesor legal externo atenúa la variedad legislativa de El Peruano, extrayendo únicamente las directivas que impactan directamente en el uso de datos (Ley N° 29733) o licenciamiento semipresencial de SUNEDU.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Amplificadores de Variedad Interna (Multiplicadores de Respuesta):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Modelos M2/M5:</w:t>
      </w:r>
      <w:r>
        <w:rPr>
          <w:rFonts w:ascii="Arial" w:cs="Arial" w:eastAsia="Arial" w:hAnsi="Arial"/>
          <w:sz w:val="22"/>
          <w:szCs w:val="22"/>
        </w:rPr>
        <w:t xml:space="preserve"> Las simulaciones dinámicas amplían la capacidad de comprensión estratégica del CEO y CTO, permitiéndoles visualizar el impacto a 5 años de decisiones actuales en minutos.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Planes Dormidos (Planes de Adaptación):</w:t>
      </w:r>
      <w:r>
        <w:rPr>
          <w:rFonts w:ascii="Arial" w:cs="Arial" w:eastAsia="Arial" w:hAnsi="Arial"/>
          <w:sz w:val="22"/>
          <w:szCs w:val="22"/>
        </w:rPr>
        <w:t xml:space="preserve"> Los protocolos pre-diseñados ante la prohibición de IA o NotebookLM amplían la velocidad de respuesta de Synapta, eliminando la necesidad de improvisación táctica ante crisis de viabilidad.</w:t>
      </w:r>
    </w:p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Teorema de la Recursividad en el S4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Teorema de la Recursividad</w:t>
      </w:r>
      <w:r>
        <w:rPr>
          <w:rFonts w:ascii="Arial" w:cs="Arial" w:eastAsia="Arial" w:hAnsi="Arial"/>
          <w:sz w:val="22"/>
          <w:szCs w:val="22"/>
        </w:rPr>
        <w:t xml:space="preserve"> prescribe que todo sistema viable contiene y está contenido por sistemas viables [30]. El diseño del S4 de Synapta respeta esta jerarquía vertical: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 de Recursión 0 (Synapta Corporativo):</w:t>
      </w:r>
      <w:r>
        <w:rPr>
          <w:rFonts w:ascii="Arial" w:cs="Arial" w:eastAsia="Arial" w:hAnsi="Arial"/>
          <w:sz w:val="22"/>
          <w:szCs w:val="22"/>
        </w:rPr>
        <w:t xml:space="preserve"> El S4 corporativo monitorea tendencias macro de LLMs de Google/OpenAI y competidores globales. Gestiona el simulador consolidado M5.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 de Recursión 1 (Divisiones Geográficas en Fase 3):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S4 División Perú:</w:t>
      </w:r>
      <w:r>
        <w:rPr>
          <w:rFonts w:ascii="Arial" w:cs="Arial" w:eastAsia="Arial" w:hAnsi="Arial"/>
          <w:sz w:val="22"/>
          <w:szCs w:val="22"/>
        </w:rPr>
        <w:t xml:space="preserve"> Monitorea de forma específica las directivas del Diario Oficial El Peruano y resoluciones de SUNEDU. Adapta el simulador M5 a la matrícula local y la competencia nacional.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S4 División Internacional (ej. Colombia):</w:t>
      </w:r>
      <w:r>
        <w:rPr>
          <w:rFonts w:ascii="Arial" w:cs="Arial" w:eastAsia="Arial" w:hAnsi="Arial"/>
          <w:sz w:val="22"/>
          <w:szCs w:val="22"/>
        </w:rPr>
        <w:t xml:space="preserve"> Monitorea las normativas del Ministerio de Educación Nacional de Colombia (MEN) y competidores locales.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Homeostato S4(0) — S4(1):</w:t>
      </w:r>
      <w:r>
        <w:rPr>
          <w:rFonts w:ascii="Arial" w:cs="Arial" w:eastAsia="Arial" w:hAnsi="Arial"/>
          <w:sz w:val="22"/>
          <w:szCs w:val="22"/>
        </w:rPr>
        <w:t xml:space="preserve"> Las alertas de disrupción regulatoria nacional capturadas por el S4 local (Nivel 1) son transducidas a reportes de riesgo consolidado mensual y transmitidas al S4 corporativo (Nivel 0) para actualizar las proyecciones globales y reasignar presupuestos.</w:t>
      </w:r>
    </w:p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Prevención Activa de Patologías Estructurales y Funcionales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diseño del S4 de Synapta está estructurado para prevenir patologías descritas por José Pérez Ríos [5]: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Prevención del “Pollo sin Cabeza” (Headless Chicken):</w:t>
      </w:r>
      <w:r>
        <w:rPr>
          <w:rFonts w:ascii="Arial" w:cs="Arial" w:eastAsia="Arial" w:hAnsi="Arial"/>
          <w:sz w:val="22"/>
          <w:szCs w:val="22"/>
        </w:rPr>
        <w:t xml:space="preserve"> Patología causada por la inexplicación de un Sistema 4 funcional [5]. Synapta previene esto asignando formalmente la responsabilidad de los radares (CTO, Growth y Sales/Legal) en la matriz de roles, obligando a cruzar datos estratégicos en la SAS mensual.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Prevención del Colapso S3-S4 (Disociación de Gestión):</w:t>
      </w:r>
      <w:r>
        <w:rPr>
          <w:rFonts w:ascii="Arial" w:cs="Arial" w:eastAsia="Arial" w:hAnsi="Arial"/>
          <w:sz w:val="22"/>
          <w:szCs w:val="22"/>
        </w:rPr>
        <w:t xml:space="preserve"> Ocurre cuando S3 y S4 no se comunican, dividiendo la empresa en dos mundos aislados [19]. Se previene implementando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Sala de Operaciones Virtual</w:t>
      </w:r>
      <w:r>
        <w:rPr>
          <w:rFonts w:ascii="Arial" w:cs="Arial" w:eastAsia="Arial" w:hAnsi="Arial"/>
          <w:sz w:val="22"/>
          <w:szCs w:val="22"/>
        </w:rPr>
        <w:t xml:space="preserve"> y el protocolo adaptado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Team Syntegrity</w:t>
      </w:r>
      <w:r>
        <w:rPr>
          <w:rFonts w:ascii="Arial" w:cs="Arial" w:eastAsia="Arial" w:hAnsi="Arial"/>
          <w:sz w:val="22"/>
          <w:szCs w:val="22"/>
        </w:rPr>
        <w:t xml:space="preserve"> garantizando un homeostato democrático y asíncrono para dirimir tensiones presupuestarias.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Prevención del Bloqueo Algedónico:</w:t>
      </w:r>
      <w:r>
        <w:rPr>
          <w:rFonts w:ascii="Arial" w:cs="Arial" w:eastAsia="Arial" w:hAnsi="Arial"/>
          <w:sz w:val="22"/>
          <w:szCs w:val="22"/>
        </w:rPr>
        <w:t xml:space="preserve"> Ocurre cuando las alertas del entorno estratégico son filtradas o silenciadas por miedo o negligencia burocrática antes de llegar al S5 [35]. Se previene mediante la automatización de semáforos críticos en la Pantalla 3 de la Sala de Operaciones, que gatilla una alerta algedónica al S5 sin requerir intermediación.</w:t>
      </w:r>
    </w:p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Fuentes Citadas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y Uso de Métrica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Beer, Stafford (1985). Diagnosing the System for Organizations. John Wiley &amp; Sons.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Definición teórica del Sistema 4 como el órgano de adaptación encargado del “exterior y el futuro”.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Pérez Ríos, José (2012). Diseño y Diagnóstico para Organizaciones Sostenibles. Editorial Ibergarceta.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Teoría del metasistema del VSM, modelado del entorno, principios de viabilidad y estructuración de la Sala de Operaciones.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[3]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SUNEDU (2026). Listado de universidades con licencia institucional vigente.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Justificación de las 105 universidades peruanas licenciadas y sus marcos normativos.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[4]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Ashby, W. Ross (1956). An Introduction to Cybernetics. Chapman &amp; Hall.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Ley de la variedad requerida para regular los disturbios y fluctuaciones del mercado.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[5]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Pérez Ríos, José (2008). Diseño de organizaciones viables: Un enfoque sistémico.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Patologías de falta de Sistema 4, esquizofrenia de gestión e hipertrofia del S3.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[6]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IMARC Group (2025). Latin America EdTech Market Size, Industry Growth &amp; Forecast 2026–2034.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Datos macroeconómicos del CAGR 11.8%–12.5% para proyecciones del modelo M5.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[7]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Beer, Stafford (1979). The Heart of Enterprise. John Wiley &amp; Sons.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Diseño y balance de los homeostatos organizacionales.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[8]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StartupPeru / PROINNOVATE (2023). Guía de Presupuestos y Pilotos de Validación en Startups Pre-Seed.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Calibración de CAC, viáticos y presupuestos para las simulaciones de costos.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[9]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NCIIA (2019). Student Venture Team Size and Commitment Standards.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Distribución multiactiva en equipos pequeños (2-5 personas, dedicación parcial).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[10]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Miller, George A. (1956). The Magical Number Seven, Plus or Minus Two.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Capacidad cognitiva de atención del S3.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[11]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Combinator (2020). Startup Playbook &amp; MVP Validation Cycles.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Ciclos de tracción, horizontes de pilotos y métricas de retención D7.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[12]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FSRS Benchmark Study (2024). An Empirical Comparison of Spaced Repetition Schedulers.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Mapeo técnico del algoritmo FSRS frente a competidores.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[13]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Cloud (2026). Vertex AI / Gemini API Pricing Page.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Costos de Gemini 2.5 Flash para simulaciones variables del modelo M1/M5.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[14]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(2026). Pricing Plans &amp; Platform Limits.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Límites de PostgreSQL para escalamiento técnico del S4.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[15]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(2026). Pricing and Plan Limits.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 Next.js en entornos de simulación de carga.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[16]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Juran, J. M. (1989). Juran on Leadership for Quality. Free Press.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Estructuras de calidad y mejora continua.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[17]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Beyer, B., Jones, C., Petoff, J., &amp; Murphy, K. (2016). Site Reliability Engineering: How Google Runs Production Systems.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Modelos de dashboards e incidencias para la Sala de Operaciones.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[18]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GitLab (2022). Remote Team Communication Playbook &amp; Response SLAs.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Estándares de respuesta asíncrona para notificaciones críticas.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[19]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Zendesk (2024). Customer Experience Trends Report.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Tiempos de soporte para la calibración del modelo de Churn.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[20]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Scielo / Revistas académicas (2023). Deserción estudiantil en universidades latinoamericanas.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 de retención institucional del ~27% de deserción universitaria en primer año en LATAM.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[21]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Ebbinghaus, Hermann (1885). Memory: A Contribution to Experimental Psychology.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Curva de olvido (~70% de pérdida en 24h) para el modelo de utilidad pedagógica.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[22]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Congreso de la República (2011). Ley N° 29733 de Protección de Datos Personales. Diario Oficial El Peruano.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Marco regulatorio de la protección y privacidad de datos personales en el Perú.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[23]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SUNEDU (2015). Ley Universitaria N° 30220. Diario Oficial El Peruano.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Marco legal regulatorio de las universidades del Perú y sus condiciones básicas de calidad.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[24]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Grupo Educación al Futuro / SUNEDU (2024). Evolución de la Matrícula Universitaria en el Perú 2020-2023.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Datos de crecimiento de matrícula universitaria en Perú (25% general y 38% en privadas).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[25]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HolonIQ (2023). Latin America EdTech Market Census &amp; Penetration Rates.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Tasa de penetración inicial de software de estudio y herramientas académicas digitales en LATAM (3% a 7%).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986af3c26609b8b7d8933f99c51c1a89e9ea6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2026-06-08T18:26:51.629Z</dcterms:created>
  <dcterms:modified xsi:type="dcterms:W3CDTF">2026-06-08T18:26:51.630Z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