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5B237C">
        <w:t>0.1</w:t>
      </w:r>
    </w:p>
    <w:p w:rsidR="007822E9" w:rsidRDefault="005B237C" w:rsidP="007822E9">
      <w:pPr>
        <w:pStyle w:val="Subttulo"/>
      </w:pPr>
      <w:r>
        <w:t>05/08/2025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7822E9">
      <w:pPr>
        <w:rPr>
          <w:sz w:val="28"/>
        </w:rPr>
      </w:pPr>
      <w:r>
        <w:rPr>
          <w:sz w:val="32"/>
        </w:rPr>
        <w:tab/>
        <w:t xml:space="preserve"> </w:t>
      </w:r>
      <w:r>
        <w:rPr>
          <w:sz w:val="32"/>
        </w:rPr>
        <w:tab/>
      </w:r>
      <w:r>
        <w:rPr>
          <w:sz w:val="32"/>
        </w:rPr>
        <w:tab/>
      </w:r>
      <w:r w:rsidRPr="007822E9">
        <w:rPr>
          <w:sz w:val="28"/>
          <w:u w:val="single"/>
        </w:rPr>
        <w:t xml:space="preserve">ELECCION </w:t>
      </w:r>
      <w:r w:rsidR="00505675">
        <w:rPr>
          <w:sz w:val="28"/>
          <w:u w:val="single"/>
        </w:rPr>
        <w:t>DEL TREN DE HERRAMIENTAS DE SLIC</w:t>
      </w:r>
      <w:r w:rsidRPr="007822E9">
        <w:rPr>
          <w:sz w:val="28"/>
          <w:u w:val="single"/>
        </w:rPr>
        <w:t>K LINE</w:t>
      </w:r>
      <w:r>
        <w:rPr>
          <w:sz w:val="28"/>
        </w:rPr>
        <w:tab/>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7822E9" w:rsidRDefault="00511929" w:rsidP="00511929">
            <w:pPr>
              <w:jc w:val="center"/>
              <w:rPr>
                <w:sz w:val="24"/>
              </w:rPr>
            </w:pPr>
            <w:r>
              <w:rPr>
                <w:sz w:val="24"/>
              </w:rPr>
              <w:t>Diego Morales</w:t>
            </w:r>
          </w:p>
        </w:tc>
        <w:tc>
          <w:tcPr>
            <w:tcW w:w="2551" w:type="dxa"/>
          </w:tcPr>
          <w:p w:rsidR="007822E9" w:rsidRPr="007822E9" w:rsidRDefault="004F776B" w:rsidP="00511929">
            <w:pPr>
              <w:jc w:val="center"/>
              <w:rPr>
                <w:sz w:val="24"/>
              </w:rPr>
            </w:pPr>
            <w:r>
              <w:rPr>
                <w:sz w:val="24"/>
              </w:rPr>
              <w:t>Ariel Costallat</w:t>
            </w:r>
          </w:p>
        </w:tc>
        <w:tc>
          <w:tcPr>
            <w:tcW w:w="2551" w:type="dxa"/>
          </w:tcPr>
          <w:p w:rsidR="007822E9" w:rsidRPr="007822E9" w:rsidRDefault="004F776B" w:rsidP="00511929">
            <w:pPr>
              <w:jc w:val="center"/>
              <w:rPr>
                <w:sz w:val="24"/>
              </w:rPr>
            </w:pPr>
            <w:r>
              <w:rPr>
                <w:sz w:val="24"/>
              </w:rPr>
              <w:t>Juan Basoalto</w:t>
            </w:r>
          </w:p>
        </w:tc>
      </w:tr>
      <w:tr w:rsidR="007822E9" w:rsidTr="007822E9">
        <w:trPr>
          <w:trHeight w:val="510"/>
        </w:trPr>
        <w:tc>
          <w:tcPr>
            <w:tcW w:w="2551" w:type="dxa"/>
          </w:tcPr>
          <w:p w:rsidR="007822E9" w:rsidRPr="007822E9" w:rsidRDefault="004F776B" w:rsidP="00511929">
            <w:pPr>
              <w:jc w:val="center"/>
              <w:rPr>
                <w:sz w:val="24"/>
              </w:rPr>
            </w:pPr>
            <w:r>
              <w:rPr>
                <w:sz w:val="24"/>
              </w:rPr>
              <w:t>Supervisor de operaciones</w:t>
            </w:r>
          </w:p>
        </w:tc>
        <w:tc>
          <w:tcPr>
            <w:tcW w:w="2551" w:type="dxa"/>
          </w:tcPr>
          <w:p w:rsidR="007822E9" w:rsidRPr="007822E9" w:rsidRDefault="005647C7" w:rsidP="00511929">
            <w:pPr>
              <w:jc w:val="center"/>
              <w:rPr>
                <w:sz w:val="24"/>
              </w:rPr>
            </w:pPr>
            <w:r>
              <w:rPr>
                <w:sz w:val="24"/>
              </w:rPr>
              <w:t>Ref. SGC</w:t>
            </w:r>
          </w:p>
        </w:tc>
        <w:tc>
          <w:tcPr>
            <w:tcW w:w="2551" w:type="dxa"/>
          </w:tcPr>
          <w:p w:rsidR="007822E9" w:rsidRPr="007822E9" w:rsidRDefault="004F776B" w:rsidP="00511929">
            <w:pPr>
              <w:jc w:val="center"/>
              <w:rPr>
                <w:sz w:val="24"/>
              </w:rPr>
            </w:pPr>
            <w:r>
              <w:rPr>
                <w:sz w:val="24"/>
              </w:rPr>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E25E8A" w:rsidRDefault="00E25E8A" w:rsidP="00E25E8A">
      <w:pPr>
        <w:spacing w:before="120" w:after="120" w:line="240" w:lineRule="auto"/>
        <w:ind w:firstLine="390"/>
        <w:jc w:val="both"/>
        <w:rPr>
          <w:rFonts w:eastAsia="Calibri" w:cs="Arial"/>
        </w:rPr>
      </w:pPr>
      <w:r w:rsidRPr="00050F1B">
        <w:rPr>
          <w:noProof/>
        </w:rPr>
        <w:t>Determinar el Tren de Herramientas</w:t>
      </w:r>
      <w:r w:rsidR="005B237C">
        <w:rPr>
          <w:noProof/>
        </w:rPr>
        <w:t xml:space="preserve"> de slick</w:t>
      </w:r>
      <w:r>
        <w:rPr>
          <w:noProof/>
        </w:rPr>
        <w:t>line</w:t>
      </w:r>
      <w:r w:rsidRPr="00050F1B">
        <w:rPr>
          <w:noProof/>
        </w:rPr>
        <w:t xml:space="preserve"> óptimo para operar en condiciones seguras</w:t>
      </w:r>
      <w:r w:rsidRPr="004E5503">
        <w:rPr>
          <w:rFonts w:eastAsia="Calibri" w:cs="Arial"/>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Pr>
          <w:rFonts w:eastAsia="Calibri" w:cs="Arial"/>
        </w:rPr>
        <w:t xml:space="preserve"> de Servicios NASER SRL.</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4E5503" w:rsidRDefault="00E25E8A" w:rsidP="00E25E8A">
      <w:pPr>
        <w:ind w:left="390"/>
        <w:rPr>
          <w:rFonts w:eastAsia="Calibri" w:cs="Arial"/>
        </w:rPr>
      </w:pPr>
      <w:r>
        <w:rPr>
          <w:rFonts w:eastAsia="Calibri" w:cs="Arial"/>
        </w:rPr>
        <w:t>ISO 9001: 2015</w:t>
      </w:r>
    </w:p>
    <w:p w:rsidR="00E25E8A" w:rsidRPr="00586FA6"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E25E8A" w:rsidRDefault="00586FA6" w:rsidP="00586FA6">
      <w:pPr>
        <w:spacing w:before="120" w:after="120" w:line="240" w:lineRule="auto"/>
        <w:ind w:left="708"/>
        <w:jc w:val="both"/>
        <w:rPr>
          <w:noProof/>
        </w:rPr>
      </w:pPr>
      <w:r>
        <w:rPr>
          <w:noProof/>
        </w:rPr>
        <w:t xml:space="preserve">4.1 </w:t>
      </w:r>
      <w:r w:rsidR="00E25E8A" w:rsidRPr="00A0423D">
        <w:rPr>
          <w:noProof/>
        </w:rPr>
        <w:t>Diámetro exterior (O.D.) del Tren de Herramientas en relación al diámetro interior (I.D.) del Tubing, incluyendo Niples Selectivos, etc.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145"/>
      </w:tblGrid>
      <w:tr w:rsidR="00E25E8A" w:rsidRPr="00951BBF" w:rsidTr="00511929">
        <w:trPr>
          <w:jc w:val="center"/>
        </w:trPr>
        <w:tc>
          <w:tcPr>
            <w:tcW w:w="2179" w:type="dxa"/>
          </w:tcPr>
          <w:p w:rsidR="00E25E8A" w:rsidRPr="00951BBF" w:rsidRDefault="00E25E8A" w:rsidP="00DA24E4">
            <w:pPr>
              <w:jc w:val="center"/>
              <w:rPr>
                <w:rFonts w:ascii="Trebuchet MS" w:hAnsi="Trebuchet MS"/>
                <w:noProof/>
              </w:rPr>
            </w:pPr>
            <w:r w:rsidRPr="00951BBF">
              <w:rPr>
                <w:rFonts w:ascii="Trebuchet MS" w:hAnsi="Trebuchet MS"/>
                <w:noProof/>
              </w:rPr>
              <w:t>Diámetro Tren de Herramientas</w:t>
            </w:r>
          </w:p>
        </w:tc>
        <w:tc>
          <w:tcPr>
            <w:tcW w:w="2145" w:type="dxa"/>
            <w:vAlign w:val="center"/>
          </w:tcPr>
          <w:p w:rsidR="00E25E8A" w:rsidRPr="00951BBF" w:rsidRDefault="00E25E8A" w:rsidP="00DA24E4">
            <w:pPr>
              <w:ind w:left="18"/>
              <w:jc w:val="center"/>
              <w:rPr>
                <w:rFonts w:ascii="Trebuchet MS" w:hAnsi="Trebuchet MS"/>
                <w:noProof/>
              </w:rPr>
            </w:pPr>
            <w:r w:rsidRPr="00951BBF">
              <w:rPr>
                <w:rFonts w:ascii="Trebuchet MS" w:hAnsi="Trebuchet MS"/>
                <w:noProof/>
              </w:rPr>
              <w:t>Tubing</w:t>
            </w:r>
          </w:p>
        </w:tc>
      </w:tr>
      <w:tr w:rsidR="00E25E8A" w:rsidRPr="00951BBF" w:rsidTr="00511929">
        <w:trPr>
          <w:jc w:val="center"/>
        </w:trPr>
        <w:tc>
          <w:tcPr>
            <w:tcW w:w="2179" w:type="dxa"/>
            <w:vAlign w:val="center"/>
          </w:tcPr>
          <w:p w:rsidR="00E25E8A" w:rsidRPr="00951BBF" w:rsidRDefault="00E25E8A" w:rsidP="00DA24E4">
            <w:pPr>
              <w:ind w:left="70"/>
              <w:jc w:val="center"/>
              <w:rPr>
                <w:rFonts w:ascii="Trebuchet MS" w:hAnsi="Trebuchet MS"/>
                <w:noProof/>
              </w:rPr>
            </w:pPr>
            <w:r w:rsidRPr="00951BBF">
              <w:rPr>
                <w:rFonts w:ascii="Trebuchet MS" w:hAnsi="Trebuchet MS"/>
                <w:noProof/>
              </w:rPr>
              <w:t>1 ½”</w:t>
            </w:r>
          </w:p>
        </w:tc>
        <w:tc>
          <w:tcPr>
            <w:tcW w:w="2145" w:type="dxa"/>
          </w:tcPr>
          <w:p w:rsidR="00E25E8A" w:rsidRPr="00951BBF" w:rsidRDefault="00E25E8A" w:rsidP="00DA24E4">
            <w:pPr>
              <w:jc w:val="center"/>
              <w:rPr>
                <w:rFonts w:ascii="Trebuchet MS" w:hAnsi="Trebuchet MS"/>
                <w:noProof/>
              </w:rPr>
            </w:pPr>
            <w:r w:rsidRPr="00951BBF">
              <w:rPr>
                <w:rFonts w:ascii="Trebuchet MS" w:hAnsi="Trebuchet MS"/>
                <w:noProof/>
              </w:rPr>
              <w:t>2 3/8” (verificar libraje) y 2 7/8”</w:t>
            </w:r>
          </w:p>
        </w:tc>
      </w:tr>
      <w:tr w:rsidR="00511929" w:rsidRPr="00951BBF" w:rsidTr="00511929">
        <w:trPr>
          <w:jc w:val="center"/>
        </w:trPr>
        <w:tc>
          <w:tcPr>
            <w:tcW w:w="2179" w:type="dxa"/>
            <w:vAlign w:val="center"/>
          </w:tcPr>
          <w:p w:rsidR="00511929" w:rsidRPr="00951BBF" w:rsidRDefault="00511929" w:rsidP="00DA24E4">
            <w:pPr>
              <w:ind w:left="70"/>
              <w:jc w:val="center"/>
              <w:rPr>
                <w:rFonts w:ascii="Trebuchet MS" w:hAnsi="Trebuchet MS"/>
                <w:noProof/>
              </w:rPr>
            </w:pPr>
            <w:r>
              <w:rPr>
                <w:rFonts w:ascii="Trebuchet MS" w:hAnsi="Trebuchet MS"/>
                <w:noProof/>
              </w:rPr>
              <w:t>1 ¾”</w:t>
            </w:r>
          </w:p>
        </w:tc>
        <w:tc>
          <w:tcPr>
            <w:tcW w:w="2145" w:type="dxa"/>
          </w:tcPr>
          <w:p w:rsidR="00511929" w:rsidRPr="00951BBF" w:rsidRDefault="00511929" w:rsidP="00DA24E4">
            <w:pPr>
              <w:jc w:val="center"/>
              <w:rPr>
                <w:rFonts w:ascii="Trebuchet MS" w:hAnsi="Trebuchet MS"/>
                <w:noProof/>
              </w:rPr>
            </w:pPr>
            <w:r>
              <w:rPr>
                <w:rFonts w:ascii="Trebuchet MS" w:hAnsi="Trebuchet MS"/>
                <w:noProof/>
              </w:rPr>
              <w:t xml:space="preserve">2 7/8” - 5 1/8” </w:t>
            </w:r>
          </w:p>
        </w:tc>
      </w:tr>
      <w:tr w:rsidR="00E25E8A" w:rsidRPr="00951BBF" w:rsidTr="00DA24E4">
        <w:trPr>
          <w:jc w:val="center"/>
        </w:trPr>
        <w:tc>
          <w:tcPr>
            <w:tcW w:w="2179" w:type="dxa"/>
          </w:tcPr>
          <w:p w:rsidR="00E25E8A" w:rsidRPr="00951BBF" w:rsidRDefault="00511929" w:rsidP="00DA24E4">
            <w:pPr>
              <w:jc w:val="center"/>
              <w:rPr>
                <w:rFonts w:ascii="Trebuchet MS" w:hAnsi="Trebuchet MS"/>
                <w:noProof/>
              </w:rPr>
            </w:pPr>
            <w:r>
              <w:rPr>
                <w:rFonts w:ascii="Trebuchet MS" w:hAnsi="Trebuchet MS"/>
                <w:noProof/>
              </w:rPr>
              <w:t xml:space="preserve">1 7/8” </w:t>
            </w:r>
          </w:p>
        </w:tc>
        <w:tc>
          <w:tcPr>
            <w:tcW w:w="2145" w:type="dxa"/>
          </w:tcPr>
          <w:p w:rsidR="00E25E8A" w:rsidRPr="00951BBF" w:rsidRDefault="00E25E8A" w:rsidP="00DA24E4">
            <w:pPr>
              <w:ind w:firstLine="18"/>
              <w:jc w:val="center"/>
              <w:rPr>
                <w:rFonts w:ascii="Trebuchet MS" w:hAnsi="Trebuchet MS"/>
                <w:noProof/>
              </w:rPr>
            </w:pPr>
            <w:r w:rsidRPr="00951BBF">
              <w:rPr>
                <w:rFonts w:ascii="Trebuchet MS" w:hAnsi="Trebuchet MS"/>
                <w:noProof/>
              </w:rPr>
              <w:t>3.5”</w:t>
            </w:r>
            <w:r>
              <w:rPr>
                <w:rFonts w:ascii="Trebuchet MS" w:hAnsi="Trebuchet MS"/>
                <w:noProof/>
              </w:rPr>
              <w:t xml:space="preserve"> </w:t>
            </w:r>
            <w:r w:rsidR="00511929">
              <w:rPr>
                <w:rFonts w:ascii="Trebuchet MS" w:hAnsi="Trebuchet MS"/>
                <w:noProof/>
              </w:rPr>
              <w:t>–</w:t>
            </w:r>
            <w:r>
              <w:rPr>
                <w:rFonts w:ascii="Trebuchet MS" w:hAnsi="Trebuchet MS"/>
                <w:noProof/>
              </w:rPr>
              <w:t xml:space="preserve"> </w:t>
            </w:r>
            <w:r w:rsidR="00511929">
              <w:rPr>
                <w:rFonts w:ascii="Trebuchet MS" w:hAnsi="Trebuchet MS"/>
                <w:noProof/>
              </w:rPr>
              <w:t>5 1/8”</w:t>
            </w:r>
          </w:p>
        </w:tc>
      </w:tr>
    </w:tbl>
    <w:p w:rsidR="00E25E8A" w:rsidRPr="00A0423D" w:rsidRDefault="00E25E8A" w:rsidP="00586FA6">
      <w:pPr>
        <w:ind w:left="816"/>
        <w:rPr>
          <w:noProof/>
        </w:rPr>
      </w:pPr>
      <w:r w:rsidRPr="00A0423D">
        <w:rPr>
          <w:noProof/>
        </w:rPr>
        <w:t>Recordar cuando haya pequeña diferencia dimensional entre la Cabeza de Pesca y el diámetro interior del Tubing, se debe asegurar que el Pescador podrá pasar a través de todas las restricciones como Niples, etc.</w:t>
      </w:r>
    </w:p>
    <w:p w:rsidR="00E25E8A" w:rsidRDefault="00E25E8A" w:rsidP="00586FA6">
      <w:pPr>
        <w:pStyle w:val="Prrafodelista"/>
        <w:numPr>
          <w:ilvl w:val="1"/>
          <w:numId w:val="4"/>
        </w:numPr>
        <w:tabs>
          <w:tab w:val="left" w:pos="851"/>
          <w:tab w:val="num" w:pos="1985"/>
          <w:tab w:val="left" w:pos="9923"/>
        </w:tabs>
        <w:spacing w:before="120" w:after="120" w:line="240" w:lineRule="auto"/>
        <w:jc w:val="both"/>
        <w:rPr>
          <w:noProof/>
        </w:rPr>
      </w:pPr>
      <w:r w:rsidRPr="00A0423D">
        <w:rPr>
          <w:noProof/>
        </w:rPr>
        <w:t>Profundidad del pozo. Tener en cuenta el siguiente ejemplo:</w:t>
      </w:r>
    </w:p>
    <w:p w:rsidR="00E25E8A" w:rsidRDefault="00E25E8A" w:rsidP="00E25E8A">
      <w:pPr>
        <w:tabs>
          <w:tab w:val="left" w:pos="851"/>
          <w:tab w:val="num" w:pos="1985"/>
          <w:tab w:val="left" w:pos="9923"/>
        </w:tabs>
        <w:ind w:left="851"/>
        <w:rPr>
          <w:noProof/>
        </w:rPr>
      </w:pPr>
      <w:r w:rsidRPr="00A0423D">
        <w:rPr>
          <w:noProof/>
        </w:rPr>
        <w:t xml:space="preserve">Profundidad de trabajo: 10.000´, peso del alambre sumado al peso del Tren de Herramientas y distintos factores como la desviación del pozo, efecto pistón, etc., puede resultar peso excesivo para el alambre. </w:t>
      </w:r>
    </w:p>
    <w:p w:rsidR="00FA271A" w:rsidRPr="00A0423D" w:rsidRDefault="00FA271A" w:rsidP="00E25E8A">
      <w:pPr>
        <w:tabs>
          <w:tab w:val="left" w:pos="851"/>
          <w:tab w:val="num" w:pos="1985"/>
          <w:tab w:val="left" w:pos="9923"/>
        </w:tabs>
        <w:ind w:left="851"/>
        <w:rPr>
          <w:noProof/>
        </w:rPr>
      </w:pPr>
      <w:r>
        <w:rPr>
          <w:noProof/>
        </w:rPr>
        <w:t>El alambre API-9A de diámetro 0.092”, pesa 22.6 lb c/1.000´.</w:t>
      </w:r>
    </w:p>
    <w:p w:rsidR="00E25E8A" w:rsidRPr="00A0423D" w:rsidRDefault="00E25E8A" w:rsidP="00E25E8A">
      <w:pPr>
        <w:tabs>
          <w:tab w:val="left" w:pos="851"/>
          <w:tab w:val="num" w:pos="1985"/>
          <w:tab w:val="left" w:pos="9923"/>
        </w:tabs>
        <w:ind w:left="851"/>
        <w:rPr>
          <w:noProof/>
        </w:rPr>
      </w:pPr>
      <w:r w:rsidRPr="00A0423D">
        <w:rPr>
          <w:noProof/>
        </w:rPr>
        <w:t xml:space="preserve">El Alambre API-9A de diámetro </w:t>
      </w:r>
      <w:r w:rsidR="00620763">
        <w:rPr>
          <w:noProof/>
        </w:rPr>
        <w:t>0</w:t>
      </w:r>
      <w:r w:rsidRPr="00A0423D">
        <w:rPr>
          <w:noProof/>
        </w:rPr>
        <w:t>.108”, pesa 31.11 lb c/1.000´.</w:t>
      </w:r>
    </w:p>
    <w:p w:rsidR="00E25E8A" w:rsidRPr="00A0423D" w:rsidRDefault="00FA271A" w:rsidP="00586FA6">
      <w:pPr>
        <w:tabs>
          <w:tab w:val="left" w:pos="851"/>
          <w:tab w:val="num" w:pos="1985"/>
          <w:tab w:val="left" w:pos="9923"/>
        </w:tabs>
        <w:ind w:left="851"/>
        <w:rPr>
          <w:noProof/>
        </w:rPr>
      </w:pPr>
      <w:r>
        <w:rPr>
          <w:noProof/>
        </w:rPr>
        <w:t xml:space="preserve">El Alambre API-9A de diámetro </w:t>
      </w:r>
      <w:r w:rsidR="00620763">
        <w:rPr>
          <w:noProof/>
        </w:rPr>
        <w:t>0</w:t>
      </w:r>
      <w:r>
        <w:rPr>
          <w:noProof/>
        </w:rPr>
        <w:t>.125” pesa 41.7</w:t>
      </w:r>
      <w:r w:rsidR="00E25E8A" w:rsidRPr="00A0423D">
        <w:rPr>
          <w:noProof/>
        </w:rPr>
        <w:t xml:space="preserve"> lb c/1.000´.</w:t>
      </w:r>
    </w:p>
    <w:p w:rsidR="00E25E8A" w:rsidRPr="00A0423D" w:rsidRDefault="00E25E8A" w:rsidP="00586FA6">
      <w:pPr>
        <w:numPr>
          <w:ilvl w:val="1"/>
          <w:numId w:val="4"/>
        </w:numPr>
        <w:tabs>
          <w:tab w:val="left" w:pos="851"/>
          <w:tab w:val="num" w:pos="1985"/>
          <w:tab w:val="left" w:pos="9923"/>
        </w:tabs>
        <w:spacing w:before="120" w:after="120" w:line="240" w:lineRule="auto"/>
        <w:jc w:val="both"/>
        <w:rPr>
          <w:noProof/>
        </w:rPr>
      </w:pPr>
      <w:r w:rsidRPr="00A0423D">
        <w:rPr>
          <w:noProof/>
        </w:rPr>
        <w:t xml:space="preserve">Desviación: Analizar si se necesitará Barra de Carga con rodillos, si es necesario agregar estratégicamente más Rótulas, Centralizador, etc. </w:t>
      </w:r>
    </w:p>
    <w:p w:rsidR="00E25E8A" w:rsidRPr="00A0423D" w:rsidRDefault="00E25E8A" w:rsidP="00586FA6">
      <w:pPr>
        <w:numPr>
          <w:ilvl w:val="1"/>
          <w:numId w:val="4"/>
        </w:numPr>
        <w:tabs>
          <w:tab w:val="left" w:pos="851"/>
          <w:tab w:val="num" w:pos="1985"/>
          <w:tab w:val="left" w:pos="9923"/>
        </w:tabs>
        <w:spacing w:before="120" w:after="120" w:line="240" w:lineRule="auto"/>
        <w:jc w:val="both"/>
        <w:rPr>
          <w:noProof/>
        </w:rPr>
      </w:pPr>
      <w:r w:rsidRPr="00A0423D">
        <w:rPr>
          <w:noProof/>
        </w:rPr>
        <w:t>Índice de Flotabilidad: A partir de la presión en boca de pozo, que actua sobre el área del  alambre, se determina el Peso Mínimo del Tren de Herramientas:</w:t>
      </w:r>
    </w:p>
    <w:p w:rsidR="00E25E8A" w:rsidRPr="00A0423D" w:rsidRDefault="00E25E8A" w:rsidP="00E25E8A">
      <w:pPr>
        <w:tabs>
          <w:tab w:val="num" w:pos="1985"/>
          <w:tab w:val="left" w:pos="9923"/>
        </w:tabs>
        <w:ind w:left="1134"/>
        <w:rPr>
          <w:noProof/>
        </w:rPr>
      </w:pPr>
      <w:r w:rsidRPr="00A0423D">
        <w:rPr>
          <w:noProof/>
        </w:rPr>
        <w:t>PMTH (lb): (Área del Alambre en pulgadas)</w:t>
      </w:r>
      <w:r w:rsidRPr="00A0423D">
        <w:rPr>
          <w:noProof/>
          <w:vertAlign w:val="superscript"/>
        </w:rPr>
        <w:t>2</w:t>
      </w:r>
      <w:r w:rsidRPr="00A0423D">
        <w:rPr>
          <w:noProof/>
        </w:rPr>
        <w:t xml:space="preserve"> x Presión Boca de Pozo en psi x 1.5</w:t>
      </w:r>
    </w:p>
    <w:p w:rsidR="00E25E8A" w:rsidRPr="00A0423D" w:rsidRDefault="00E25E8A" w:rsidP="00E25E8A">
      <w:pPr>
        <w:tabs>
          <w:tab w:val="num" w:pos="1985"/>
          <w:tab w:val="left" w:pos="9923"/>
        </w:tabs>
        <w:ind w:left="1134"/>
        <w:rPr>
          <w:rFonts w:cs="Arial"/>
          <w:noProof/>
        </w:rPr>
      </w:pPr>
      <w:r w:rsidRPr="00A0423D">
        <w:rPr>
          <w:noProof/>
        </w:rPr>
        <w:t>Área (pulgadas</w:t>
      </w:r>
      <w:r w:rsidRPr="00A0423D">
        <w:rPr>
          <w:noProof/>
          <w:vertAlign w:val="superscript"/>
        </w:rPr>
        <w:t>2</w:t>
      </w:r>
      <w:r w:rsidRPr="00A0423D">
        <w:rPr>
          <w:noProof/>
        </w:rPr>
        <w:t xml:space="preserve">): </w:t>
      </w:r>
      <w:r w:rsidRPr="00A0423D">
        <w:rPr>
          <w:rFonts w:cs="Arial"/>
          <w:noProof/>
          <w:sz w:val="28"/>
          <w:szCs w:val="28"/>
        </w:rPr>
        <w:t>π</w:t>
      </w:r>
      <w:r w:rsidRPr="00A0423D">
        <w:rPr>
          <w:rFonts w:cs="Arial"/>
          <w:noProof/>
        </w:rPr>
        <w:t xml:space="preserve"> x </w:t>
      </w:r>
      <w:r w:rsidRPr="00A0423D">
        <w:rPr>
          <w:rFonts w:cs="Arial"/>
          <w:noProof/>
          <w:sz w:val="28"/>
          <w:szCs w:val="28"/>
        </w:rPr>
        <w:t>r</w:t>
      </w:r>
      <w:r w:rsidRPr="00A0423D">
        <w:rPr>
          <w:rFonts w:cs="Arial"/>
          <w:noProof/>
          <w:sz w:val="28"/>
          <w:szCs w:val="28"/>
          <w:vertAlign w:val="superscript"/>
        </w:rPr>
        <w:t>2</w:t>
      </w:r>
      <w:r w:rsidRPr="00A0423D">
        <w:rPr>
          <w:rFonts w:cs="Arial"/>
          <w:noProof/>
        </w:rPr>
        <w:t xml:space="preserve"> (en pulgadas). </w:t>
      </w:r>
    </w:p>
    <w:p w:rsidR="00E25E8A" w:rsidRPr="00A0423D" w:rsidRDefault="00E25E8A" w:rsidP="00E25E8A">
      <w:pPr>
        <w:tabs>
          <w:tab w:val="num" w:pos="1985"/>
          <w:tab w:val="left" w:pos="9923"/>
        </w:tabs>
        <w:ind w:left="1134"/>
        <w:rPr>
          <w:rFonts w:cs="Arial"/>
          <w:noProof/>
        </w:rPr>
      </w:pPr>
      <w:r w:rsidRPr="00A0423D">
        <w:rPr>
          <w:rFonts w:cs="Arial"/>
          <w:noProof/>
        </w:rPr>
        <w:t>Presión de Boca de Pozo en libras (psi).</w:t>
      </w:r>
    </w:p>
    <w:p w:rsidR="00E25E8A" w:rsidRPr="00A0423D" w:rsidRDefault="00E25E8A" w:rsidP="00E25E8A">
      <w:pPr>
        <w:tabs>
          <w:tab w:val="num" w:pos="1985"/>
          <w:tab w:val="left" w:pos="9923"/>
        </w:tabs>
        <w:ind w:left="1134"/>
        <w:rPr>
          <w:rFonts w:cs="Arial"/>
          <w:noProof/>
        </w:rPr>
      </w:pPr>
      <w:r w:rsidRPr="00A0423D">
        <w:rPr>
          <w:rFonts w:cs="Arial"/>
          <w:noProof/>
        </w:rPr>
        <w:t>Factor de seguridad: 1.5, no tiene unidad, incluye fricción del alambre en Poleas y Stuffing Box.</w:t>
      </w:r>
    </w:p>
    <w:p w:rsidR="00E25E8A" w:rsidRPr="00A0423D" w:rsidRDefault="00E25E8A" w:rsidP="00586FA6">
      <w:pPr>
        <w:numPr>
          <w:ilvl w:val="1"/>
          <w:numId w:val="4"/>
        </w:numPr>
        <w:tabs>
          <w:tab w:val="left" w:pos="851"/>
          <w:tab w:val="num" w:pos="2708"/>
          <w:tab w:val="num" w:pos="3240"/>
          <w:tab w:val="left" w:pos="9923"/>
        </w:tabs>
        <w:spacing w:before="120" w:after="120" w:line="240" w:lineRule="auto"/>
        <w:jc w:val="both"/>
        <w:rPr>
          <w:noProof/>
        </w:rPr>
      </w:pPr>
      <w:r w:rsidRPr="00A0423D">
        <w:rPr>
          <w:noProof/>
        </w:rPr>
        <w:t>Fluido en el pozo: Las diferentes viscosidades de los fluidos en el pozo, pueden modificar la efectividad del golpe de la Tijera.</w:t>
      </w:r>
    </w:p>
    <w:p w:rsidR="00E25E8A" w:rsidRDefault="00E25E8A" w:rsidP="00586FA6">
      <w:pPr>
        <w:numPr>
          <w:ilvl w:val="1"/>
          <w:numId w:val="4"/>
        </w:numPr>
        <w:tabs>
          <w:tab w:val="left" w:pos="851"/>
          <w:tab w:val="num" w:pos="2708"/>
          <w:tab w:val="num" w:pos="3240"/>
          <w:tab w:val="left" w:pos="9923"/>
        </w:tabs>
        <w:spacing w:before="120" w:after="120" w:line="240" w:lineRule="auto"/>
        <w:jc w:val="both"/>
        <w:rPr>
          <w:noProof/>
        </w:rPr>
      </w:pPr>
      <w:r w:rsidRPr="00A0423D">
        <w:rPr>
          <w:noProof/>
        </w:rPr>
        <w:t>Rope Socket: Utilizar el modelo Tipo P</w:t>
      </w:r>
      <w:r w:rsidR="00535F15">
        <w:rPr>
          <w:noProof/>
        </w:rPr>
        <w:t>era (Wedge) para alambre</w:t>
      </w:r>
      <w:r w:rsidRPr="00A0423D">
        <w:rPr>
          <w:noProof/>
        </w:rPr>
        <w:t xml:space="preserve"> </w:t>
      </w:r>
      <w:r w:rsidR="00535F15">
        <w:rPr>
          <w:noProof/>
        </w:rPr>
        <w:t>0.125”, para 0.092” y 0.108” utiilizar convencional con nudo.</w:t>
      </w:r>
    </w:p>
    <w:p w:rsidR="00256F48" w:rsidRDefault="00256F48" w:rsidP="00BB3C20">
      <w:pPr>
        <w:tabs>
          <w:tab w:val="left" w:pos="851"/>
          <w:tab w:val="left" w:pos="9923"/>
        </w:tabs>
        <w:spacing w:before="120" w:after="120" w:line="240" w:lineRule="auto"/>
        <w:ind w:left="1068"/>
        <w:rPr>
          <w:noProof/>
        </w:rPr>
      </w:pPr>
      <w:r w:rsidRPr="00256F48">
        <w:rPr>
          <w:noProof/>
          <w:lang w:eastAsia="es-AR"/>
        </w:rPr>
        <w:lastRenderedPageBreak/>
        <w:drawing>
          <wp:inline distT="0" distB="0" distL="0" distR="0" wp14:anchorId="2CFD0496" wp14:editId="4B4BECDE">
            <wp:extent cx="2361566" cy="1590950"/>
            <wp:effectExtent l="0" t="0" r="63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76706" cy="1601150"/>
                    </a:xfrm>
                    <a:prstGeom prst="rect">
                      <a:avLst/>
                    </a:prstGeom>
                  </pic:spPr>
                </pic:pic>
              </a:graphicData>
            </a:graphic>
          </wp:inline>
        </w:drawing>
      </w:r>
      <w:r w:rsidR="00BB3C20" w:rsidRPr="00256F48">
        <w:rPr>
          <w:noProof/>
          <w:lang w:eastAsia="es-AR"/>
        </w:rPr>
        <w:drawing>
          <wp:inline distT="0" distB="0" distL="0" distR="0" wp14:anchorId="0D9982CF" wp14:editId="553BEE1A">
            <wp:extent cx="1792021" cy="248516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2451" cy="2499625"/>
                    </a:xfrm>
                    <a:prstGeom prst="rect">
                      <a:avLst/>
                    </a:prstGeom>
                  </pic:spPr>
                </pic:pic>
              </a:graphicData>
            </a:graphic>
          </wp:inline>
        </w:drawing>
      </w:r>
    </w:p>
    <w:p w:rsidR="00BB3C20" w:rsidRPr="00A0423D" w:rsidRDefault="00256F48" w:rsidP="00BB3C20">
      <w:pPr>
        <w:tabs>
          <w:tab w:val="left" w:pos="851"/>
          <w:tab w:val="left" w:pos="9923"/>
        </w:tabs>
        <w:spacing w:before="120" w:after="120" w:line="240" w:lineRule="auto"/>
        <w:ind w:left="1068"/>
        <w:jc w:val="center"/>
        <w:rPr>
          <w:noProof/>
        </w:rPr>
      </w:pPr>
      <w:r>
        <w:rPr>
          <w:noProof/>
        </w:rPr>
        <w:t>Modelo tipo Pera</w:t>
      </w:r>
      <w:r w:rsidR="00BB3C20">
        <w:rPr>
          <w:noProof/>
        </w:rPr>
        <w:t xml:space="preserve">                            Modelo convencional con nudo</w:t>
      </w:r>
    </w:p>
    <w:p w:rsidR="00256F48" w:rsidRDefault="00256F48" w:rsidP="00BB3C20">
      <w:pPr>
        <w:tabs>
          <w:tab w:val="left" w:pos="851"/>
          <w:tab w:val="left" w:pos="9923"/>
        </w:tabs>
        <w:spacing w:before="120" w:after="120" w:line="240" w:lineRule="auto"/>
        <w:ind w:left="1068"/>
        <w:rPr>
          <w:noProof/>
        </w:rPr>
      </w:pPr>
    </w:p>
    <w:p w:rsidR="00256F48" w:rsidRDefault="00256F48" w:rsidP="00256F48">
      <w:pPr>
        <w:tabs>
          <w:tab w:val="left" w:pos="851"/>
          <w:tab w:val="left" w:pos="9923"/>
        </w:tabs>
        <w:spacing w:before="120" w:after="120" w:line="240" w:lineRule="auto"/>
        <w:ind w:left="1068"/>
        <w:jc w:val="center"/>
        <w:rPr>
          <w:noProof/>
        </w:rPr>
      </w:pPr>
    </w:p>
    <w:p w:rsidR="00E25E8A" w:rsidRPr="00A0423D" w:rsidRDefault="00E25E8A" w:rsidP="00586FA6">
      <w:pPr>
        <w:numPr>
          <w:ilvl w:val="1"/>
          <w:numId w:val="4"/>
        </w:numPr>
        <w:tabs>
          <w:tab w:val="left" w:pos="851"/>
          <w:tab w:val="num" w:pos="2708"/>
          <w:tab w:val="num" w:pos="3240"/>
          <w:tab w:val="left" w:pos="9923"/>
        </w:tabs>
        <w:spacing w:before="120" w:after="120" w:line="240" w:lineRule="auto"/>
        <w:jc w:val="both"/>
        <w:rPr>
          <w:noProof/>
        </w:rPr>
      </w:pPr>
      <w:r w:rsidRPr="00A0423D">
        <w:rPr>
          <w:noProof/>
        </w:rPr>
        <w:t>Barra de Carga: Es el componente que incrementa el peso del Tren de Herramientas. Para calcular el Peso de una Barra de Carga estándar, utilizar la siguiente fórmula:</w:t>
      </w:r>
    </w:p>
    <w:p w:rsidR="00E25E8A" w:rsidRPr="00A0423D" w:rsidRDefault="00E25E8A" w:rsidP="00E25E8A">
      <w:pPr>
        <w:jc w:val="center"/>
      </w:pPr>
      <w:r w:rsidRPr="00A0423D">
        <w:br/>
      </w:r>
      <m:oMathPara>
        <m:oMath>
          <m:f>
            <m:fPr>
              <m:ctrlPr>
                <w:rPr>
                  <w:rFonts w:ascii="Cambria Math" w:eastAsia="Calibri" w:hAnsi="Cambria Math" w:cs="Times New Roman"/>
                  <w:i/>
                </w:rPr>
              </m:ctrlPr>
            </m:fPr>
            <m:num>
              <m:sSup>
                <m:sSupPr>
                  <m:ctrlPr>
                    <w:rPr>
                      <w:rFonts w:ascii="Cambria Math" w:eastAsia="Calibri" w:hAnsi="Cambria Math" w:cs="Times New Roman"/>
                      <w:i/>
                    </w:rPr>
                  </m:ctrlPr>
                </m:sSupPr>
                <m:e>
                  <m:r>
                    <w:rPr>
                      <w:rFonts w:ascii="Cambria Math" w:hAnsi="Cambria Math"/>
                    </w:rPr>
                    <m:t>OD</m:t>
                  </m:r>
                </m:e>
                <m:sup>
                  <m:r>
                    <w:rPr>
                      <w:rFonts w:ascii="Cambria Math"/>
                    </w:rPr>
                    <m:t>2</m:t>
                  </m:r>
                </m:sup>
              </m:sSup>
              <m:r>
                <w:rPr>
                  <w:rFonts w:ascii="Cambria Math"/>
                </w:rPr>
                <m:t xml:space="preserve"> </m:t>
              </m:r>
              <m:r>
                <w:rPr>
                  <w:rFonts w:ascii="Cambria Math" w:hAnsi="Cambria Math"/>
                </w:rPr>
                <m:t>x</m:t>
              </m:r>
              <m:r>
                <w:rPr>
                  <w:rFonts w:ascii="Cambria Math"/>
                </w:rPr>
                <m:t xml:space="preserve"> 8</m:t>
              </m:r>
            </m:num>
            <m:den>
              <m:r>
                <w:rPr>
                  <w:rFonts w:ascii="Cambria Math"/>
                </w:rPr>
                <m:t>3</m:t>
              </m:r>
            </m:den>
          </m:f>
          <m:r>
            <w:rPr>
              <w:rFonts w:ascii="Cambria Math" w:eastAsia="Times New Roman"/>
            </w:rPr>
            <m:t>=</m:t>
          </m:r>
          <m:r>
            <w:rPr>
              <w:rFonts w:ascii="Cambria Math" w:eastAsia="Times New Roman" w:hAnsi="Cambria Math"/>
            </w:rPr>
            <m:t>libras</m:t>
          </m:r>
          <m:r>
            <w:rPr>
              <w:rFonts w:ascii="Cambria Math" w:eastAsia="Times New Roman"/>
            </w:rPr>
            <m:t xml:space="preserve"> </m:t>
          </m:r>
          <m:r>
            <w:rPr>
              <w:rFonts w:ascii="Cambria Math" w:eastAsia="Times New Roman" w:hAnsi="Cambria Math"/>
            </w:rPr>
            <m:t>por</m:t>
          </m:r>
          <m:r>
            <w:rPr>
              <w:rFonts w:ascii="Cambria Math" w:eastAsia="Times New Roman"/>
            </w:rPr>
            <m:t xml:space="preserve"> </m:t>
          </m:r>
          <m:r>
            <w:rPr>
              <w:rFonts w:ascii="Cambria Math" w:eastAsia="Times New Roman" w:hAnsi="Cambria Math"/>
            </w:rPr>
            <m:t>pie</m:t>
          </m:r>
        </m:oMath>
      </m:oMathPara>
    </w:p>
    <w:p w:rsidR="00E25E8A" w:rsidRPr="00A0423D" w:rsidRDefault="00E25E8A" w:rsidP="00E25E8A">
      <w:pPr>
        <w:ind w:left="816"/>
      </w:pPr>
      <w:r w:rsidRPr="00A0423D">
        <w:t>Como referencia, la Barra de Carga de 1 ½” estándar pesa 6 lb/ft</w:t>
      </w:r>
      <w:r w:rsidR="00511929">
        <w:t xml:space="preserve">, 1 ¾” de diámetro pesa 8,16 lb/ft </w:t>
      </w:r>
      <w:r w:rsidR="00511929" w:rsidRPr="00A0423D">
        <w:t>y</w:t>
      </w:r>
      <w:r w:rsidRPr="00A0423D">
        <w:t xml:space="preserve"> de 1 7/8” de diámetro pesa 9.4 lb/ft.</w:t>
      </w:r>
    </w:p>
    <w:p w:rsidR="00E25E8A" w:rsidRDefault="00E25E8A" w:rsidP="00E25E8A">
      <w:pPr>
        <w:ind w:left="816"/>
      </w:pPr>
      <w:r w:rsidRPr="00A0423D">
        <w:t>En caso de uso de Barra de Carga de Tungsteno o plomo, no s</w:t>
      </w:r>
      <w:r w:rsidR="00FF35F5">
        <w:t>e debe usar la fórmula anterior, debiendo considerar que la barra de carga de 1 ½” pesa</w:t>
      </w:r>
      <w:r w:rsidR="006C7E62">
        <w:t xml:space="preserve"> 10 Lb/ft, o considerar la siguiente tabla.</w:t>
      </w:r>
    </w:p>
    <w:p w:rsidR="006C7E62" w:rsidRPr="00A0423D" w:rsidRDefault="006C7E62" w:rsidP="006C7E62">
      <w:pPr>
        <w:ind w:left="816"/>
        <w:jc w:val="center"/>
      </w:pPr>
      <w:r w:rsidRPr="006C7E62">
        <w:rPr>
          <w:noProof/>
          <w:lang w:eastAsia="es-AR"/>
        </w:rPr>
        <w:drawing>
          <wp:inline distT="0" distB="0" distL="0" distR="0" wp14:anchorId="13811880" wp14:editId="763224BA">
            <wp:extent cx="4830992" cy="2348230"/>
            <wp:effectExtent l="19050" t="19050" r="2730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5967" cy="2350648"/>
                    </a:xfrm>
                    <a:prstGeom prst="rect">
                      <a:avLst/>
                    </a:prstGeom>
                    <a:ln>
                      <a:solidFill>
                        <a:schemeClr val="accent1"/>
                      </a:solidFill>
                    </a:ln>
                  </pic:spPr>
                </pic:pic>
              </a:graphicData>
            </a:graphic>
          </wp:inline>
        </w:drawing>
      </w:r>
    </w:p>
    <w:p w:rsidR="00E25E8A" w:rsidRPr="00A0423D" w:rsidRDefault="00E25E8A" w:rsidP="00E25E8A">
      <w:pPr>
        <w:ind w:left="816"/>
      </w:pPr>
      <w:r w:rsidRPr="00A0423D">
        <w:t>Recordar que el incremento de peso, también incrementará la fuerza de impacto en el uso de la Tijera ya sea hacia arriba como hacia abajo, pudiendo producir algún efecto indeseado.</w:t>
      </w:r>
    </w:p>
    <w:p w:rsidR="00E25E8A" w:rsidRPr="00A0423D" w:rsidRDefault="00E25E8A" w:rsidP="00586FA6">
      <w:pPr>
        <w:numPr>
          <w:ilvl w:val="1"/>
          <w:numId w:val="4"/>
        </w:numPr>
        <w:tabs>
          <w:tab w:val="left" w:pos="851"/>
          <w:tab w:val="num" w:pos="2708"/>
          <w:tab w:val="num" w:pos="3240"/>
          <w:tab w:val="left" w:pos="9923"/>
        </w:tabs>
        <w:spacing w:before="120" w:after="120" w:line="240" w:lineRule="auto"/>
        <w:jc w:val="both"/>
        <w:rPr>
          <w:noProof/>
        </w:rPr>
      </w:pPr>
      <w:r w:rsidRPr="00A0423D">
        <w:rPr>
          <w:noProof/>
        </w:rPr>
        <w:t>Tijeras</w:t>
      </w:r>
    </w:p>
    <w:p w:rsidR="00E25E8A" w:rsidRPr="00A0423D" w:rsidRDefault="00E25E8A" w:rsidP="00586FA6">
      <w:pPr>
        <w:numPr>
          <w:ilvl w:val="2"/>
          <w:numId w:val="4"/>
        </w:numPr>
        <w:tabs>
          <w:tab w:val="left" w:pos="851"/>
          <w:tab w:val="num" w:pos="2708"/>
          <w:tab w:val="num" w:pos="3240"/>
          <w:tab w:val="left" w:pos="9923"/>
        </w:tabs>
        <w:spacing w:before="120" w:after="120" w:line="240" w:lineRule="auto"/>
        <w:jc w:val="both"/>
        <w:rPr>
          <w:noProof/>
        </w:rPr>
      </w:pPr>
      <w:r w:rsidRPr="00A0423D">
        <w:rPr>
          <w:noProof/>
        </w:rPr>
        <w:lastRenderedPageBreak/>
        <w:t>Mecánica: Siempre debe formar parte del Tren de Herramientas, excepto cuando se realizan ensayos con Herramientas a Memoria (Memory Gauge, PLT, Flowmeter, etc.). Tanto sea el uso “a mano” como con el guinche, es fundamental que el Operador pueda reconocer y descifrar la deflexión del Indicador de Peso (Martin Decker). La fuerza del impacto (efectividad del golpe) se regula con el peso del Tren de Herramientas, la apertura de la Tijera  y la aceleración al impactar.</w:t>
      </w:r>
    </w:p>
    <w:p w:rsidR="00E25E8A" w:rsidRPr="00A0423D" w:rsidRDefault="00E25E8A" w:rsidP="00586FA6">
      <w:pPr>
        <w:numPr>
          <w:ilvl w:val="3"/>
          <w:numId w:val="4"/>
        </w:numPr>
        <w:tabs>
          <w:tab w:val="left" w:pos="851"/>
          <w:tab w:val="num" w:pos="3240"/>
          <w:tab w:val="left" w:pos="9923"/>
        </w:tabs>
        <w:spacing w:before="120" w:after="120" w:line="240" w:lineRule="auto"/>
        <w:jc w:val="both"/>
        <w:rPr>
          <w:noProof/>
        </w:rPr>
      </w:pPr>
      <w:r w:rsidRPr="00A0423D">
        <w:rPr>
          <w:noProof/>
        </w:rPr>
        <w:t xml:space="preserve">Estándar: Se puede usar golpeando en ambas direcciones. La eficiencia está restringida por la viscosidad de los fluidos, la desviación y la fricción del alambre. No es recomendada para trabajar en diámetros de tubing muy grandes porque puede cruzarse o curvarse. Tampoco se recomienda para pescar alambre en el pozo, porque puede enredarse en la zona de deslizamiento. Existen dos modelos: 20” y 30” de apertura. </w:t>
      </w:r>
    </w:p>
    <w:p w:rsidR="00E25E8A" w:rsidRPr="00A0423D" w:rsidRDefault="00E25E8A" w:rsidP="00586FA6">
      <w:pPr>
        <w:numPr>
          <w:ilvl w:val="3"/>
          <w:numId w:val="4"/>
        </w:numPr>
        <w:tabs>
          <w:tab w:val="left" w:pos="851"/>
          <w:tab w:val="num" w:pos="3240"/>
          <w:tab w:val="left" w:pos="9923"/>
        </w:tabs>
        <w:spacing w:before="120" w:after="120" w:line="240" w:lineRule="auto"/>
        <w:jc w:val="both"/>
        <w:rPr>
          <w:noProof/>
        </w:rPr>
      </w:pPr>
      <w:r w:rsidRPr="00A0423D">
        <w:rPr>
          <w:noProof/>
        </w:rPr>
        <w:t>Tubular: Se puede usar golpeando en ambas direcciones. Comunmente usada para pescas, también para pescar alambre suelto o trabajar en grandes diámetros de tubing. No es una herramienta para trabajo duro por lo que no es recomendada para el trabajo estándar de Slickline.</w:t>
      </w:r>
    </w:p>
    <w:p w:rsidR="00E25E8A" w:rsidRPr="00A0423D" w:rsidRDefault="00E25E8A" w:rsidP="00586FA6">
      <w:pPr>
        <w:numPr>
          <w:ilvl w:val="2"/>
          <w:numId w:val="4"/>
        </w:numPr>
        <w:tabs>
          <w:tab w:val="left" w:pos="851"/>
          <w:tab w:val="num" w:pos="2708"/>
          <w:tab w:val="num" w:pos="3240"/>
          <w:tab w:val="left" w:pos="9923"/>
        </w:tabs>
        <w:spacing w:before="120" w:after="120" w:line="240" w:lineRule="auto"/>
        <w:jc w:val="both"/>
        <w:rPr>
          <w:noProof/>
        </w:rPr>
      </w:pPr>
      <w:r w:rsidRPr="00A0423D">
        <w:rPr>
          <w:noProof/>
        </w:rPr>
        <w:t xml:space="preserve">De Potencia: Su función es proveer un fuerte golpe de Tijera solamente hacia arriba. Generalmente se conocen así a la Tijera Hidráulica y a la Tijera de Resorte. La ubicación en el Tren de Herramientas es entre la Barra de Carga y la Tijera Mecánica. </w:t>
      </w:r>
    </w:p>
    <w:p w:rsidR="00E25E8A" w:rsidRPr="00A0423D" w:rsidRDefault="00E25E8A" w:rsidP="00586FA6">
      <w:pPr>
        <w:numPr>
          <w:ilvl w:val="3"/>
          <w:numId w:val="4"/>
        </w:numPr>
        <w:tabs>
          <w:tab w:val="left" w:pos="851"/>
          <w:tab w:val="num" w:pos="3240"/>
          <w:tab w:val="left" w:pos="9923"/>
        </w:tabs>
        <w:spacing w:before="120" w:after="120" w:line="240" w:lineRule="auto"/>
        <w:jc w:val="both"/>
        <w:rPr>
          <w:noProof/>
        </w:rPr>
      </w:pPr>
      <w:r w:rsidRPr="00A0423D">
        <w:rPr>
          <w:noProof/>
        </w:rPr>
        <w:t>De Resorte: Requiere de mantenimiento regular; es susteptible a la suciedad del pozo porque obstaculiza el reseteo. Dispara efectivamente en pozos desviados. En caso de falla en el disparo, actuará como segunda Tijera o como un componente rígido del Tren de Herramientas. El accionamiento, puede calibrarse en superficie, por ejemplo al 50% del límite elástico del alambre a la profundidad de trabajo. En combinación con un Accelerador, proveerá muchas más fuerza de impacto.</w:t>
      </w:r>
    </w:p>
    <w:p w:rsidR="00E25E8A" w:rsidRPr="00A0423D" w:rsidRDefault="00E25E8A" w:rsidP="00586FA6">
      <w:pPr>
        <w:numPr>
          <w:ilvl w:val="3"/>
          <w:numId w:val="4"/>
        </w:numPr>
        <w:tabs>
          <w:tab w:val="left" w:pos="851"/>
          <w:tab w:val="num" w:pos="3240"/>
          <w:tab w:val="left" w:pos="9923"/>
        </w:tabs>
        <w:spacing w:before="120" w:after="120" w:line="240" w:lineRule="auto"/>
        <w:jc w:val="both"/>
        <w:rPr>
          <w:noProof/>
        </w:rPr>
      </w:pPr>
      <w:r w:rsidRPr="00A0423D">
        <w:rPr>
          <w:noProof/>
        </w:rPr>
        <w:t xml:space="preserve">Hidráulica: No es recomendada para pozos de gas porque pierde efectividad. Acciona una vez aplicada la fuerza de tensión hacia arriba del Tren de Herramientas, dependiendo de las características del aceite hidráulico usado, la elección del mismo depende también de la temperatura del pozo y se recomienda que la viscosidad del mismo sea tal que permita el disparo de la Tijera, entre 15 y 20 segundos después del tensado hacia arriba.  </w:t>
      </w:r>
    </w:p>
    <w:p w:rsidR="00E25E8A" w:rsidRDefault="00E25E8A" w:rsidP="00586FA6">
      <w:pPr>
        <w:numPr>
          <w:ilvl w:val="1"/>
          <w:numId w:val="4"/>
        </w:numPr>
        <w:tabs>
          <w:tab w:val="left" w:pos="851"/>
          <w:tab w:val="num" w:pos="2708"/>
          <w:tab w:val="num" w:pos="3240"/>
          <w:tab w:val="left" w:pos="9923"/>
        </w:tabs>
        <w:spacing w:before="120" w:after="120" w:line="240" w:lineRule="auto"/>
        <w:jc w:val="both"/>
        <w:rPr>
          <w:noProof/>
        </w:rPr>
      </w:pPr>
      <w:r w:rsidRPr="00A0423D">
        <w:rPr>
          <w:noProof/>
        </w:rPr>
        <w:t xml:space="preserve">Rótula: Componente usado para hacer más flexible (articular) el Tren de Herramientas, en caso que sea necesario. La ubicación y cantidad de Rótulas en el Tren de Herramientas se planifica en base a experiencias previas. Principalmente es requerido en pozos desviados. Cuando el Tren de Herramientas es demasiado largo, se recomienda colocar una, debajo de la Tijera. No se recomienda colocarla inmediatamente debajo del Rope Socket, ni en pozos verticales, ni en trabajos de golpes de muy fuerte de Tijera, dado que por su diseño, representa un punto débil en el Tren de Herramientas. Se recomienda, usar con doble Cabeza de Pesca. </w:t>
      </w:r>
    </w:p>
    <w:p w:rsidR="005B237C" w:rsidRDefault="005B237C" w:rsidP="005B237C">
      <w:pPr>
        <w:tabs>
          <w:tab w:val="left" w:pos="851"/>
          <w:tab w:val="left" w:pos="9923"/>
        </w:tabs>
        <w:spacing w:before="120" w:after="120" w:line="240" w:lineRule="auto"/>
        <w:ind w:left="1068"/>
        <w:jc w:val="both"/>
        <w:rPr>
          <w:noProof/>
        </w:rPr>
      </w:pPr>
    </w:p>
    <w:p w:rsidR="005B237C" w:rsidRDefault="005B237C" w:rsidP="005B237C">
      <w:pPr>
        <w:tabs>
          <w:tab w:val="left" w:pos="851"/>
          <w:tab w:val="left" w:pos="9923"/>
        </w:tabs>
        <w:spacing w:before="120" w:after="120" w:line="240" w:lineRule="auto"/>
        <w:ind w:left="1068"/>
        <w:jc w:val="both"/>
        <w:rPr>
          <w:noProof/>
        </w:rPr>
      </w:pPr>
    </w:p>
    <w:p w:rsidR="005B237C" w:rsidRDefault="005B237C" w:rsidP="005B237C">
      <w:pPr>
        <w:numPr>
          <w:ilvl w:val="1"/>
          <w:numId w:val="4"/>
        </w:numPr>
        <w:tabs>
          <w:tab w:val="left" w:pos="851"/>
          <w:tab w:val="num" w:pos="1843"/>
          <w:tab w:val="num" w:pos="3240"/>
          <w:tab w:val="left" w:pos="9923"/>
        </w:tabs>
        <w:spacing w:before="120" w:after="120" w:line="240" w:lineRule="auto"/>
        <w:jc w:val="both"/>
        <w:rPr>
          <w:noProof/>
        </w:rPr>
      </w:pPr>
      <w:r>
        <w:rPr>
          <w:noProof/>
        </w:rPr>
        <w:lastRenderedPageBreak/>
        <w:t>Precauciones:</w:t>
      </w:r>
    </w:p>
    <w:p w:rsidR="005B237C" w:rsidRDefault="007F3BD3" w:rsidP="004E749B">
      <w:pPr>
        <w:pStyle w:val="Prrafodelista"/>
        <w:numPr>
          <w:ilvl w:val="0"/>
          <w:numId w:val="5"/>
        </w:numPr>
        <w:tabs>
          <w:tab w:val="left" w:pos="851"/>
          <w:tab w:val="left" w:pos="9923"/>
        </w:tabs>
        <w:spacing w:before="120" w:after="120" w:line="240" w:lineRule="auto"/>
        <w:jc w:val="both"/>
        <w:rPr>
          <w:noProof/>
        </w:rPr>
      </w:pPr>
      <w:r>
        <w:rPr>
          <w:noProof/>
        </w:rPr>
        <w:t>Considerar toda la información del pozo antes de diseñar el tren de herramientas.</w:t>
      </w:r>
    </w:p>
    <w:p w:rsidR="007F3BD3" w:rsidRDefault="007F3BD3" w:rsidP="004E749B">
      <w:pPr>
        <w:pStyle w:val="Prrafodelista"/>
        <w:numPr>
          <w:ilvl w:val="0"/>
          <w:numId w:val="5"/>
        </w:numPr>
        <w:tabs>
          <w:tab w:val="left" w:pos="851"/>
          <w:tab w:val="left" w:pos="9923"/>
        </w:tabs>
        <w:spacing w:before="120" w:after="120" w:line="240" w:lineRule="auto"/>
        <w:jc w:val="both"/>
        <w:rPr>
          <w:noProof/>
        </w:rPr>
      </w:pPr>
      <w:r>
        <w:rPr>
          <w:noProof/>
        </w:rPr>
        <w:t>No incorporar elementos innecesarios al tren de herramientas, por ejemplo rótulas o barras de carg</w:t>
      </w:r>
      <w:r w:rsidR="004E749B">
        <w:rPr>
          <w:noProof/>
        </w:rPr>
        <w:t>a.</w:t>
      </w:r>
    </w:p>
    <w:p w:rsidR="007F3BD3" w:rsidRDefault="007F3BD3" w:rsidP="004E749B">
      <w:pPr>
        <w:pStyle w:val="Prrafodelista"/>
        <w:numPr>
          <w:ilvl w:val="0"/>
          <w:numId w:val="5"/>
        </w:numPr>
        <w:tabs>
          <w:tab w:val="left" w:pos="851"/>
          <w:tab w:val="left" w:pos="9923"/>
        </w:tabs>
        <w:spacing w:before="120" w:after="120" w:line="240" w:lineRule="auto"/>
        <w:jc w:val="both"/>
        <w:rPr>
          <w:noProof/>
        </w:rPr>
      </w:pPr>
      <w:r>
        <w:rPr>
          <w:noProof/>
        </w:rPr>
        <w:t>El tren de herramientas debe estar alojado completamente en los lubricadores.</w:t>
      </w:r>
    </w:p>
    <w:p w:rsidR="007F3BD3" w:rsidRDefault="007F3BD3" w:rsidP="004E749B">
      <w:pPr>
        <w:pStyle w:val="Prrafodelista"/>
        <w:numPr>
          <w:ilvl w:val="0"/>
          <w:numId w:val="5"/>
        </w:numPr>
        <w:tabs>
          <w:tab w:val="left" w:pos="851"/>
          <w:tab w:val="left" w:pos="9923"/>
        </w:tabs>
        <w:spacing w:before="120" w:after="120" w:line="240" w:lineRule="auto"/>
        <w:jc w:val="both"/>
        <w:rPr>
          <w:noProof/>
        </w:rPr>
      </w:pPr>
      <w:r>
        <w:rPr>
          <w:noProof/>
        </w:rPr>
        <w:t>Considerar la longitud total de las herramientas a ser recuperadas</w:t>
      </w:r>
      <w:r w:rsidR="004E749B">
        <w:rPr>
          <w:noProof/>
        </w:rPr>
        <w:t xml:space="preserve"> (por ejemplo, tijera o tapones en estado abierto).</w:t>
      </w:r>
      <w:bookmarkStart w:id="0" w:name="_GoBack"/>
      <w:bookmarkEnd w:id="0"/>
    </w:p>
    <w:p w:rsidR="005B237C" w:rsidRPr="00A0423D" w:rsidRDefault="005B237C" w:rsidP="005B237C">
      <w:pPr>
        <w:tabs>
          <w:tab w:val="left" w:pos="851"/>
          <w:tab w:val="left" w:pos="9923"/>
        </w:tabs>
        <w:spacing w:before="120" w:after="120" w:line="240" w:lineRule="auto"/>
        <w:ind w:left="1068"/>
        <w:jc w:val="both"/>
        <w:rPr>
          <w:noProof/>
        </w:rPr>
      </w:pPr>
    </w:p>
    <w:p w:rsidR="00E25E8A" w:rsidRPr="00586FA6" w:rsidRDefault="00E25E8A" w:rsidP="00586FA6">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Responsabilidades</w:t>
      </w:r>
    </w:p>
    <w:p w:rsidR="00E25E8A" w:rsidRPr="00AD027A" w:rsidRDefault="00D542CA" w:rsidP="00E25E8A">
      <w:pPr>
        <w:rPr>
          <w:rFonts w:eastAsia="Calibri" w:cs="Arial"/>
        </w:rPr>
      </w:pPr>
      <w:r>
        <w:rPr>
          <w:noProof/>
        </w:rPr>
        <w:t>Coordinador de operaciones, Supervisores, Operadores y</w:t>
      </w:r>
      <w:r w:rsidR="00E25E8A" w:rsidRPr="00AD027A">
        <w:rPr>
          <w:noProof/>
        </w:rPr>
        <w:t xml:space="preserve"> Ayudantes.</w:t>
      </w:r>
    </w:p>
    <w:p w:rsidR="00E25E8A" w:rsidRPr="00586FA6" w:rsidRDefault="00E25E8A" w:rsidP="00586FA6">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Pr="0029795E" w:rsidRDefault="00E25E8A" w:rsidP="00E25E8A">
      <w:pPr>
        <w:spacing w:before="60" w:after="60"/>
        <w:rPr>
          <w:rFonts w:eastAsia="Calibri" w:cs="Times New Roman"/>
          <w:lang w:val="es-ES_tradnl"/>
        </w:rPr>
      </w:pP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92352C" w:rsidP="00DA24E4">
            <w:pPr>
              <w:pStyle w:val="Prrafodelista"/>
              <w:tabs>
                <w:tab w:val="left" w:pos="2835"/>
              </w:tabs>
              <w:spacing w:line="240" w:lineRule="atLeast"/>
              <w:ind w:left="0"/>
              <w:rPr>
                <w:i/>
                <w:lang w:val="es-AR"/>
              </w:rPr>
            </w:pPr>
            <w:r>
              <w:rPr>
                <w:i/>
                <w:lang w:val="es-AR"/>
              </w:rPr>
              <w:t>POSN02-A9</w:t>
            </w:r>
            <w:r w:rsidR="00D542CA">
              <w:rPr>
                <w:i/>
                <w:lang w:val="es-AR"/>
              </w:rPr>
              <w:t xml:space="preserve"> Elección del tren de herramientas de slick line</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AF3EA4">
        <w:tc>
          <w:tcPr>
            <w:tcW w:w="2802" w:type="dxa"/>
          </w:tcPr>
          <w:p w:rsidR="00E25E8A" w:rsidRPr="00401E95" w:rsidRDefault="005B237C" w:rsidP="00DA24E4">
            <w:pPr>
              <w:pStyle w:val="Prrafodelista"/>
              <w:tabs>
                <w:tab w:val="left" w:pos="2835"/>
              </w:tabs>
              <w:spacing w:line="240" w:lineRule="atLeast"/>
              <w:ind w:left="0"/>
              <w:rPr>
                <w:i/>
                <w:lang w:val="es-AR"/>
              </w:rPr>
            </w:pPr>
            <w:r>
              <w:rPr>
                <w:i/>
                <w:lang w:val="es-AR"/>
              </w:rPr>
              <w:t>POSN02-A9 Elección del tren de herramientas de slick line</w:t>
            </w:r>
          </w:p>
        </w:tc>
        <w:tc>
          <w:tcPr>
            <w:tcW w:w="5132" w:type="dxa"/>
          </w:tcPr>
          <w:p w:rsidR="00E25E8A" w:rsidRPr="0037067B" w:rsidRDefault="004E749B" w:rsidP="00DA24E4">
            <w:pPr>
              <w:pStyle w:val="Prrafodelista"/>
              <w:tabs>
                <w:tab w:val="left" w:pos="2835"/>
              </w:tabs>
              <w:spacing w:line="240" w:lineRule="atLeast"/>
              <w:ind w:left="0"/>
              <w:rPr>
                <w:i/>
                <w:lang w:val="es-AR"/>
              </w:rPr>
            </w:pPr>
            <w:r>
              <w:rPr>
                <w:i/>
                <w:lang w:val="es-AR"/>
              </w:rPr>
              <w:t>Incorporación de 4.10.</w:t>
            </w:r>
          </w:p>
        </w:tc>
      </w:tr>
      <w:tr w:rsidR="00E25E8A" w:rsidRPr="00EF6072" w:rsidTr="00AF3EA4">
        <w:tc>
          <w:tcPr>
            <w:tcW w:w="2802" w:type="dxa"/>
          </w:tcPr>
          <w:p w:rsidR="00E25E8A" w:rsidRPr="0037067B" w:rsidRDefault="00E25E8A" w:rsidP="00DA24E4">
            <w:pPr>
              <w:pStyle w:val="Prrafodelista"/>
              <w:tabs>
                <w:tab w:val="left" w:pos="2835"/>
              </w:tabs>
              <w:spacing w:line="240" w:lineRule="atLeast"/>
              <w:ind w:left="0"/>
              <w:rPr>
                <w:lang w:val="es-AR"/>
              </w:rPr>
            </w:pPr>
          </w:p>
        </w:tc>
        <w:tc>
          <w:tcPr>
            <w:tcW w:w="5132" w:type="dxa"/>
          </w:tcPr>
          <w:p w:rsidR="00E25E8A" w:rsidRPr="0037067B" w:rsidRDefault="00E25E8A" w:rsidP="00DA24E4">
            <w:pPr>
              <w:pStyle w:val="Prrafodelista"/>
              <w:tabs>
                <w:tab w:val="left" w:pos="2835"/>
              </w:tabs>
              <w:spacing w:line="240" w:lineRule="atLeast"/>
              <w:ind w:left="0"/>
              <w:rPr>
                <w:lang w:val="es-AR"/>
              </w:rPr>
            </w:pPr>
          </w:p>
        </w:tc>
      </w:tr>
      <w:tr w:rsidR="00E25E8A" w:rsidRPr="00EF6072" w:rsidTr="00AF3EA4">
        <w:tc>
          <w:tcPr>
            <w:tcW w:w="2802" w:type="dxa"/>
          </w:tcPr>
          <w:p w:rsidR="00E25E8A" w:rsidRPr="0037067B" w:rsidRDefault="00E25E8A" w:rsidP="00DA24E4">
            <w:pPr>
              <w:pStyle w:val="Prrafodelista"/>
              <w:tabs>
                <w:tab w:val="left" w:pos="2835"/>
              </w:tabs>
              <w:spacing w:line="240" w:lineRule="atLeast"/>
              <w:ind w:left="0"/>
              <w:rPr>
                <w:lang w:val="es-AR"/>
              </w:rPr>
            </w:pPr>
          </w:p>
        </w:tc>
        <w:tc>
          <w:tcPr>
            <w:tcW w:w="5132" w:type="dxa"/>
          </w:tcPr>
          <w:p w:rsidR="00E25E8A" w:rsidRPr="0037067B" w:rsidRDefault="00E25E8A" w:rsidP="00DA24E4">
            <w:pPr>
              <w:pStyle w:val="Prrafodelista"/>
              <w:tabs>
                <w:tab w:val="left" w:pos="2835"/>
              </w:tabs>
              <w:spacing w:line="240" w:lineRule="atLeast"/>
              <w:ind w:left="0"/>
              <w:rPr>
                <w:lang w:val="es-AR"/>
              </w:rPr>
            </w:pPr>
          </w:p>
        </w:tc>
      </w:tr>
    </w:tbl>
    <w:p w:rsidR="00E25E8A" w:rsidRDefault="00E25E8A" w:rsidP="00E25E8A">
      <w:pPr>
        <w:pStyle w:val="Bullet1"/>
        <w:numPr>
          <w:ilvl w:val="0"/>
          <w:numId w:val="0"/>
        </w:numPr>
        <w:ind w:left="1134" w:hanging="567"/>
        <w:jc w:val="left"/>
        <w:rPr>
          <w:lang w:val="fr-FR"/>
        </w:rPr>
      </w:pPr>
    </w:p>
    <w:p w:rsidR="00E25E8A" w:rsidRDefault="00E25E8A" w:rsidP="00E25E8A">
      <w:pPr>
        <w:tabs>
          <w:tab w:val="left" w:pos="1665"/>
        </w:tabs>
      </w:pPr>
      <w:r>
        <w:tab/>
      </w:r>
    </w:p>
    <w:p w:rsidR="007822E9" w:rsidRPr="007822E9" w:rsidRDefault="007822E9">
      <w:pPr>
        <w:rPr>
          <w:sz w:val="32"/>
        </w:rPr>
      </w:pPr>
    </w:p>
    <w:sectPr w:rsidR="007822E9" w:rsidRPr="007822E9" w:rsidSect="002969F3">
      <w:headerReference w:type="default" r:id="rId11"/>
      <w:footerReference w:type="defaul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CB3" w:rsidRDefault="00954CB3" w:rsidP="00A543B7">
      <w:pPr>
        <w:spacing w:after="0" w:line="240" w:lineRule="auto"/>
      </w:pPr>
      <w:r>
        <w:separator/>
      </w:r>
    </w:p>
  </w:endnote>
  <w:endnote w:type="continuationSeparator" w:id="0">
    <w:p w:rsidR="00954CB3" w:rsidRDefault="00954CB3"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5B237C">
      <w:t>05/08/2025</w:t>
    </w:r>
    <w:r>
      <w:ptab w:relativeTo="margin" w:alignment="center" w:leader="none"/>
    </w:r>
    <w:r w:rsidR="0092352C">
      <w:t>POSN02-A9</w:t>
    </w:r>
    <w:r w:rsidR="00E25E8A">
      <w:t xml:space="preserve"> </w:t>
    </w:r>
    <w:r w:rsidR="00E849FF">
      <w:t>Elección del tren de herramientas de slick line</w:t>
    </w:r>
    <w:r>
      <w:ptab w:relativeTo="margin" w:alignment="right" w:leader="none"/>
    </w:r>
    <w:r w:rsidR="005B237C">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5B237C">
      <w:t>05/08/2025</w:t>
    </w:r>
    <w:r>
      <w:ptab w:relativeTo="margin" w:alignment="center" w:leader="none"/>
    </w:r>
    <w:r w:rsidR="0092352C">
      <w:t>POSN02-A9</w:t>
    </w:r>
    <w:r>
      <w:t xml:space="preserve"> Elección del tren de herramientas de slick line</w:t>
    </w:r>
    <w:r>
      <w:ptab w:relativeTo="margin" w:alignment="right" w:leader="none"/>
    </w:r>
    <w:r w:rsidR="005B237C">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CB3" w:rsidRDefault="00954CB3" w:rsidP="00A543B7">
      <w:pPr>
        <w:spacing w:after="0" w:line="240" w:lineRule="auto"/>
      </w:pPr>
      <w:r>
        <w:separator/>
      </w:r>
    </w:p>
  </w:footnote>
  <w:footnote w:type="continuationSeparator" w:id="0">
    <w:p w:rsidR="00954CB3" w:rsidRDefault="00954CB3"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 w15:restartNumberingAfterBreak="0">
    <w:nsid w:val="38D6382F"/>
    <w:multiLevelType w:val="hybridMultilevel"/>
    <w:tmpl w:val="333AC8D2"/>
    <w:lvl w:ilvl="0" w:tplc="2C0A0001">
      <w:start w:val="1"/>
      <w:numFmt w:val="bullet"/>
      <w:lvlText w:val=""/>
      <w:lvlJc w:val="left"/>
      <w:pPr>
        <w:ind w:left="1788" w:hanging="360"/>
      </w:pPr>
      <w:rPr>
        <w:rFonts w:ascii="Symbol" w:hAnsi="Symbol" w:hint="default"/>
      </w:rPr>
    </w:lvl>
    <w:lvl w:ilvl="1" w:tplc="2C0A0003" w:tentative="1">
      <w:start w:val="1"/>
      <w:numFmt w:val="bullet"/>
      <w:lvlText w:val="o"/>
      <w:lvlJc w:val="left"/>
      <w:pPr>
        <w:ind w:left="2508" w:hanging="360"/>
      </w:pPr>
      <w:rPr>
        <w:rFonts w:ascii="Courier New" w:hAnsi="Courier New" w:cs="Courier New" w:hint="default"/>
      </w:rPr>
    </w:lvl>
    <w:lvl w:ilvl="2" w:tplc="2C0A0005" w:tentative="1">
      <w:start w:val="1"/>
      <w:numFmt w:val="bullet"/>
      <w:lvlText w:val=""/>
      <w:lvlJc w:val="left"/>
      <w:pPr>
        <w:ind w:left="3228" w:hanging="360"/>
      </w:pPr>
      <w:rPr>
        <w:rFonts w:ascii="Wingdings" w:hAnsi="Wingdings" w:hint="default"/>
      </w:rPr>
    </w:lvl>
    <w:lvl w:ilvl="3" w:tplc="2C0A0001" w:tentative="1">
      <w:start w:val="1"/>
      <w:numFmt w:val="bullet"/>
      <w:lvlText w:val=""/>
      <w:lvlJc w:val="left"/>
      <w:pPr>
        <w:ind w:left="3948" w:hanging="360"/>
      </w:pPr>
      <w:rPr>
        <w:rFonts w:ascii="Symbol" w:hAnsi="Symbol" w:hint="default"/>
      </w:rPr>
    </w:lvl>
    <w:lvl w:ilvl="4" w:tplc="2C0A0003" w:tentative="1">
      <w:start w:val="1"/>
      <w:numFmt w:val="bullet"/>
      <w:lvlText w:val="o"/>
      <w:lvlJc w:val="left"/>
      <w:pPr>
        <w:ind w:left="4668" w:hanging="360"/>
      </w:pPr>
      <w:rPr>
        <w:rFonts w:ascii="Courier New" w:hAnsi="Courier New" w:cs="Courier New" w:hint="default"/>
      </w:rPr>
    </w:lvl>
    <w:lvl w:ilvl="5" w:tplc="2C0A0005" w:tentative="1">
      <w:start w:val="1"/>
      <w:numFmt w:val="bullet"/>
      <w:lvlText w:val=""/>
      <w:lvlJc w:val="left"/>
      <w:pPr>
        <w:ind w:left="5388" w:hanging="360"/>
      </w:pPr>
      <w:rPr>
        <w:rFonts w:ascii="Wingdings" w:hAnsi="Wingdings" w:hint="default"/>
      </w:rPr>
    </w:lvl>
    <w:lvl w:ilvl="6" w:tplc="2C0A0001" w:tentative="1">
      <w:start w:val="1"/>
      <w:numFmt w:val="bullet"/>
      <w:lvlText w:val=""/>
      <w:lvlJc w:val="left"/>
      <w:pPr>
        <w:ind w:left="6108" w:hanging="360"/>
      </w:pPr>
      <w:rPr>
        <w:rFonts w:ascii="Symbol" w:hAnsi="Symbol" w:hint="default"/>
      </w:rPr>
    </w:lvl>
    <w:lvl w:ilvl="7" w:tplc="2C0A0003" w:tentative="1">
      <w:start w:val="1"/>
      <w:numFmt w:val="bullet"/>
      <w:lvlText w:val="o"/>
      <w:lvlJc w:val="left"/>
      <w:pPr>
        <w:ind w:left="6828" w:hanging="360"/>
      </w:pPr>
      <w:rPr>
        <w:rFonts w:ascii="Courier New" w:hAnsi="Courier New" w:cs="Courier New" w:hint="default"/>
      </w:rPr>
    </w:lvl>
    <w:lvl w:ilvl="8" w:tplc="2C0A0005" w:tentative="1">
      <w:start w:val="1"/>
      <w:numFmt w:val="bullet"/>
      <w:lvlText w:val=""/>
      <w:lvlJc w:val="left"/>
      <w:pPr>
        <w:ind w:left="7548" w:hanging="360"/>
      </w:pPr>
      <w:rPr>
        <w:rFonts w:ascii="Wingdings" w:hAnsi="Wingdings" w:hint="default"/>
      </w:rPr>
    </w:lvl>
  </w:abstractNum>
  <w:abstractNum w:abstractNumId="3"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F1034"/>
    <w:rsid w:val="0011020A"/>
    <w:rsid w:val="00256F48"/>
    <w:rsid w:val="002969F3"/>
    <w:rsid w:val="004827B6"/>
    <w:rsid w:val="004E749B"/>
    <w:rsid w:val="004F776B"/>
    <w:rsid w:val="00505675"/>
    <w:rsid w:val="00511929"/>
    <w:rsid w:val="00527FCD"/>
    <w:rsid w:val="00535F15"/>
    <w:rsid w:val="005647C7"/>
    <w:rsid w:val="00586FA6"/>
    <w:rsid w:val="005A3BF4"/>
    <w:rsid w:val="005B237C"/>
    <w:rsid w:val="00620763"/>
    <w:rsid w:val="006C7E62"/>
    <w:rsid w:val="007822E9"/>
    <w:rsid w:val="007B4A00"/>
    <w:rsid w:val="007F3BD3"/>
    <w:rsid w:val="00906F91"/>
    <w:rsid w:val="0092352C"/>
    <w:rsid w:val="00954CB3"/>
    <w:rsid w:val="00A543B7"/>
    <w:rsid w:val="00A75577"/>
    <w:rsid w:val="00AF3EA4"/>
    <w:rsid w:val="00AF47E7"/>
    <w:rsid w:val="00BB3C20"/>
    <w:rsid w:val="00C7044C"/>
    <w:rsid w:val="00D542CA"/>
    <w:rsid w:val="00DD74F3"/>
    <w:rsid w:val="00E25E8A"/>
    <w:rsid w:val="00E849FF"/>
    <w:rsid w:val="00FA271A"/>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2E87"/>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2C5D60"/>
    <w:rsid w:val="0039515F"/>
    <w:rsid w:val="007447D0"/>
    <w:rsid w:val="007C359D"/>
    <w:rsid w:val="00AB6111"/>
    <w:rsid w:val="00CC1DE7"/>
    <w:rsid w:val="00D56F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1052</Words>
  <Characters>5787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7</cp:revision>
  <dcterms:created xsi:type="dcterms:W3CDTF">2024-10-07T19:16:00Z</dcterms:created>
  <dcterms:modified xsi:type="dcterms:W3CDTF">2025-08-06T13:55:00Z</dcterms:modified>
</cp:coreProperties>
</file>