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PROYECTO INTERMODULAR - MÓDULO </w:t>
      </w:r>
      <w:r>
        <w:rPr>
          <w:spacing w:val="-4"/>
        </w:rPr>
        <w:t>1713</w:t>
      </w:r>
    </w:p>
    <w:p>
      <w:pPr>
        <w:pStyle w:val="BodyText"/>
        <w:spacing w:before="207"/>
        <w:rPr>
          <w:rFonts w:ascii="Arial"/>
          <w:b/>
          <w:sz w:val="36"/>
        </w:rPr>
      </w:pPr>
    </w:p>
    <w:p>
      <w:pPr>
        <w:pStyle w:val="Heading1"/>
        <w:spacing w:before="0"/>
        <w:ind w:left="852" w:firstLine="0"/>
      </w:pPr>
      <w:r>
        <w:rPr/>
        <w:t>ENTREGA 1: ANÁLISIS DE NECESIDADES Y </w:t>
      </w:r>
      <w:r>
        <w:rPr>
          <w:spacing w:val="-2"/>
        </w:rPr>
        <w:t>PRESUPUESTO</w:t>
      </w:r>
    </w:p>
    <w:p>
      <w:pPr>
        <w:pStyle w:val="BodyText"/>
        <w:spacing w:before="71"/>
        <w:rPr>
          <w:rFonts w:ascii="Arial"/>
          <w:b/>
          <w:sz w:val="28"/>
        </w:rPr>
      </w:pPr>
    </w:p>
    <w:p>
      <w:pPr>
        <w:spacing w:before="0"/>
        <w:ind w:left="852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Empresa ficticia: </w:t>
      </w:r>
      <w:r>
        <w:rPr>
          <w:rFonts w:ascii="Arial"/>
          <w:b/>
          <w:sz w:val="20"/>
        </w:rPr>
        <w:t>UrbanTech Consultores </w:t>
      </w:r>
      <w:r>
        <w:rPr>
          <w:rFonts w:ascii="Arial"/>
          <w:b/>
          <w:spacing w:val="-4"/>
          <w:sz w:val="20"/>
        </w:rPr>
        <w:t>S.L.</w:t>
      </w:r>
    </w:p>
    <w:p>
      <w:pPr>
        <w:pStyle w:val="BodyText"/>
        <w:spacing w:before="10"/>
        <w:ind w:left="852"/>
      </w:pPr>
      <w:r>
        <w:rPr/>
        <w:t>Alumno/a: [Nombre del </w:t>
      </w:r>
      <w:r>
        <w:rPr>
          <w:spacing w:val="-2"/>
        </w:rPr>
        <w:t>Alumno]</w:t>
      </w:r>
    </w:p>
    <w:p>
      <w:pPr>
        <w:pStyle w:val="BodyText"/>
        <w:spacing w:line="249" w:lineRule="auto" w:before="10"/>
        <w:ind w:left="852" w:right="4036"/>
      </w:pPr>
      <w:r>
        <w:rPr/>
        <w:t>Ciclo</w:t>
      </w:r>
      <w:r>
        <w:rPr>
          <w:spacing w:val="-5"/>
        </w:rPr>
        <w:t> </w:t>
      </w:r>
      <w:r>
        <w:rPr/>
        <w:t>Formativo:</w:t>
      </w:r>
      <w:r>
        <w:rPr>
          <w:spacing w:val="-5"/>
        </w:rPr>
        <w:t> </w:t>
      </w:r>
      <w:r>
        <w:rPr/>
        <w:t>Técnico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Sistemas</w:t>
      </w:r>
      <w:r>
        <w:rPr>
          <w:spacing w:val="-5"/>
        </w:rPr>
        <w:t> </w:t>
      </w:r>
      <w:r>
        <w:rPr/>
        <w:t>Microinformáticos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Redes Centro educativo: [Nombre del Centro]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spacing w:before="0"/>
        <w:ind w:left="852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Fecha: </w:t>
      </w:r>
      <w:r>
        <w:rPr>
          <w:sz w:val="20"/>
        </w:rPr>
        <w:t>Noviembre de </w:t>
      </w:r>
      <w:r>
        <w:rPr>
          <w:spacing w:val="-4"/>
          <w:sz w:val="20"/>
        </w:rPr>
        <w:t>2025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500" w:bottom="280" w:left="708" w:right="0"/>
        </w:sectPr>
      </w:pPr>
    </w:p>
    <w:p>
      <w:pPr>
        <w:pStyle w:val="Heading1"/>
        <w:numPr>
          <w:ilvl w:val="0"/>
          <w:numId w:val="1"/>
        </w:numPr>
        <w:tabs>
          <w:tab w:pos="1163" w:val="left" w:leader="none"/>
        </w:tabs>
        <w:spacing w:line="240" w:lineRule="auto" w:before="79" w:after="0"/>
        <w:ind w:left="1163" w:right="0" w:hanging="311"/>
        <w:jc w:val="left"/>
      </w:pPr>
      <w:r>
        <w:rPr>
          <w:spacing w:val="-2"/>
        </w:rPr>
        <w:t>Introducción</w:t>
      </w:r>
    </w:p>
    <w:p>
      <w:pPr>
        <w:pStyle w:val="BodyText"/>
        <w:spacing w:line="312" w:lineRule="auto" w:before="273"/>
        <w:ind w:left="852" w:right="1556"/>
        <w:jc w:val="both"/>
      </w:pPr>
      <w:r>
        <w:rPr/>
        <w:t>El presente documento corresponde a la primera entrega del Proyecto Intermodular del ciclo formativo de Técnico en Sistemas Microinformáticos y Redes. Esta fase inicial se centra en el análisis de necesidades y la elaboración de un presupuesto detallado para la empresa </w:t>
      </w:r>
      <w:r>
        <w:rPr/>
        <w:t>ficticia </w:t>
      </w:r>
      <w:r>
        <w:rPr>
          <w:rFonts w:ascii="Arial" w:hAnsi="Arial"/>
          <w:b/>
        </w:rPr>
        <w:t>UrbanTech Consultores S.L.</w:t>
      </w:r>
      <w:r>
        <w:rPr/>
        <w:t>. El objetivo es diseñar una infraestructura informática completa, moderna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sostenible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permita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funcionamiento</w:t>
      </w:r>
      <w:r>
        <w:rPr>
          <w:spacing w:val="-2"/>
        </w:rPr>
        <w:t> </w:t>
      </w:r>
      <w:r>
        <w:rPr/>
        <w:t>óptimo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empresa</w:t>
      </w:r>
      <w:r>
        <w:rPr>
          <w:spacing w:val="-2"/>
        </w:rPr>
        <w:t> </w:t>
      </w:r>
      <w:r>
        <w:rPr/>
        <w:t>desde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inicio.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esta etapa se realiza un estudio de los recursos necesarios, tanto de hardware como de software, así como de los elementos de red, servicios digitales y soluciones innovadoras orientadas a la eficiencia energética y la transformación digital.</w:t>
      </w:r>
    </w:p>
    <w:p>
      <w:pPr>
        <w:pStyle w:val="BodyText"/>
      </w:pPr>
    </w:p>
    <w:p>
      <w:pPr>
        <w:pStyle w:val="BodyText"/>
        <w:spacing w:before="153"/>
      </w:pPr>
    </w:p>
    <w:p>
      <w:pPr>
        <w:pStyle w:val="Heading1"/>
        <w:numPr>
          <w:ilvl w:val="0"/>
          <w:numId w:val="1"/>
        </w:numPr>
        <w:tabs>
          <w:tab w:pos="1163" w:val="left" w:leader="none"/>
        </w:tabs>
        <w:spacing w:line="240" w:lineRule="auto" w:before="1" w:after="0"/>
        <w:ind w:left="1163" w:right="0" w:hanging="311"/>
        <w:jc w:val="left"/>
      </w:pPr>
      <w:r>
        <w:rPr/>
        <w:t>Descripción de la Empresa y su Estructura </w:t>
      </w:r>
      <w:r>
        <w:rPr>
          <w:spacing w:val="-2"/>
        </w:rPr>
        <w:t>Organizativa</w:t>
      </w:r>
    </w:p>
    <w:p>
      <w:pPr>
        <w:pStyle w:val="BodyText"/>
        <w:spacing w:line="312" w:lineRule="auto" w:before="273"/>
        <w:ind w:left="852" w:right="1556"/>
        <w:jc w:val="both"/>
      </w:pPr>
      <w:r>
        <w:rPr>
          <w:rFonts w:ascii="Arial" w:hAnsi="Arial"/>
          <w:b/>
        </w:rPr>
        <w:t>UrbanTech Consultores S.L. </w:t>
      </w:r>
      <w:r>
        <w:rPr/>
        <w:t>es una consultora de ingeniería y diseño urbano sostenible con sede en Madrid. Su misión es ofrecer soluciones integrales de planificación y gestión de infraestructuras urbanas inteligentes, centradas en la eficiencia energética, la movilidad </w:t>
      </w:r>
      <w:r>
        <w:rPr/>
        <w:t>sostenible y el desarrollo de espacios públicos digitales. La empresa ocupa un edificio de tres plantas, con un total de 21 empleados distribuidos entre sus distintos departamentos.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2"/>
        <w:ind w:firstLine="0"/>
      </w:pPr>
      <w:r>
        <w:rPr/>
        <w:t>Departamentos y estructura </w:t>
      </w:r>
      <w:r>
        <w:rPr>
          <w:spacing w:val="-2"/>
        </w:rPr>
        <w:t>jerárquica:</w:t>
      </w:r>
    </w:p>
    <w:p>
      <w:pPr>
        <w:pStyle w:val="ListParagraph"/>
        <w:numPr>
          <w:ilvl w:val="0"/>
          <w:numId w:val="2"/>
        </w:numPr>
        <w:tabs>
          <w:tab w:pos="974" w:val="left" w:leader="none"/>
        </w:tabs>
        <w:spacing w:line="240" w:lineRule="auto" w:before="122" w:after="0"/>
        <w:ind w:left="974" w:right="0" w:hanging="122"/>
        <w:jc w:val="left"/>
        <w:rPr>
          <w:rFonts w:ascii="Arial MT" w:hAnsi="Arial MT"/>
          <w:sz w:val="20"/>
        </w:rPr>
      </w:pPr>
      <w:r>
        <w:rPr>
          <w:b/>
          <w:sz w:val="20"/>
        </w:rPr>
        <w:t>Dirección General: </w:t>
      </w:r>
      <w:r>
        <w:rPr>
          <w:rFonts w:ascii="Arial MT" w:hAnsi="Arial MT"/>
          <w:sz w:val="20"/>
        </w:rPr>
        <w:t>Coordina la estrategia y supervisa la ejecución de </w:t>
      </w:r>
      <w:r>
        <w:rPr>
          <w:rFonts w:ascii="Arial MT" w:hAnsi="Arial MT"/>
          <w:spacing w:val="-2"/>
          <w:sz w:val="20"/>
        </w:rPr>
        <w:t>proyectos.</w:t>
      </w:r>
    </w:p>
    <w:p>
      <w:pPr>
        <w:pStyle w:val="ListParagraph"/>
        <w:numPr>
          <w:ilvl w:val="0"/>
          <w:numId w:val="2"/>
        </w:numPr>
        <w:tabs>
          <w:tab w:pos="974" w:val="left" w:leader="none"/>
        </w:tabs>
        <w:spacing w:line="240" w:lineRule="auto" w:before="70" w:after="0"/>
        <w:ind w:left="974" w:right="0" w:hanging="122"/>
        <w:jc w:val="left"/>
        <w:rPr>
          <w:rFonts w:ascii="Arial MT" w:hAnsi="Arial MT"/>
          <w:sz w:val="20"/>
        </w:rPr>
      </w:pPr>
      <w:r>
        <w:rPr>
          <w:b/>
          <w:sz w:val="20"/>
        </w:rPr>
        <w:t>Administración y Finanzas: </w:t>
      </w:r>
      <w:r>
        <w:rPr>
          <w:rFonts w:ascii="Arial MT" w:hAnsi="Arial MT"/>
          <w:sz w:val="20"/>
        </w:rPr>
        <w:t>Control presupuestario, gestión contable y </w:t>
      </w:r>
      <w:r>
        <w:rPr>
          <w:rFonts w:ascii="Arial MT" w:hAnsi="Arial MT"/>
          <w:spacing w:val="-2"/>
          <w:sz w:val="20"/>
        </w:rPr>
        <w:t>fiscal.</w:t>
      </w:r>
    </w:p>
    <w:p>
      <w:pPr>
        <w:pStyle w:val="ListParagraph"/>
        <w:numPr>
          <w:ilvl w:val="0"/>
          <w:numId w:val="2"/>
        </w:numPr>
        <w:tabs>
          <w:tab w:pos="974" w:val="left" w:leader="none"/>
        </w:tabs>
        <w:spacing w:line="240" w:lineRule="auto" w:before="70" w:after="0"/>
        <w:ind w:left="974" w:right="0" w:hanging="122"/>
        <w:jc w:val="left"/>
        <w:rPr>
          <w:rFonts w:ascii="Arial MT" w:hAnsi="Arial MT"/>
          <w:sz w:val="20"/>
        </w:rPr>
      </w:pPr>
      <w:r>
        <w:rPr>
          <w:b/>
          <w:sz w:val="20"/>
        </w:rPr>
        <w:t>Ingeniería y Diseño CAD: </w:t>
      </w:r>
      <w:r>
        <w:rPr>
          <w:rFonts w:ascii="Arial MT" w:hAnsi="Arial MT"/>
          <w:sz w:val="20"/>
        </w:rPr>
        <w:t>Desarrollo de planos, modelado 3D y simulaciones </w:t>
      </w:r>
      <w:r>
        <w:rPr>
          <w:rFonts w:ascii="Arial MT" w:hAnsi="Arial MT"/>
          <w:spacing w:val="-2"/>
          <w:sz w:val="20"/>
        </w:rPr>
        <w:t>urbanas.</w:t>
      </w:r>
    </w:p>
    <w:p>
      <w:pPr>
        <w:pStyle w:val="ListParagraph"/>
        <w:numPr>
          <w:ilvl w:val="0"/>
          <w:numId w:val="2"/>
        </w:numPr>
        <w:tabs>
          <w:tab w:pos="974" w:val="left" w:leader="none"/>
        </w:tabs>
        <w:spacing w:line="240" w:lineRule="auto" w:before="70" w:after="0"/>
        <w:ind w:left="974" w:right="0" w:hanging="122"/>
        <w:jc w:val="left"/>
        <w:rPr>
          <w:rFonts w:ascii="Arial MT" w:hAnsi="Arial MT"/>
          <w:sz w:val="20"/>
        </w:rPr>
      </w:pPr>
      <w:r>
        <w:rPr>
          <w:b/>
          <w:sz w:val="20"/>
        </w:rPr>
        <w:t>Recursos Humanos: </w:t>
      </w:r>
      <w:r>
        <w:rPr>
          <w:rFonts w:ascii="Arial MT" w:hAnsi="Arial MT"/>
          <w:sz w:val="20"/>
        </w:rPr>
        <w:t>Selección, formación y gestión de </w:t>
      </w:r>
      <w:r>
        <w:rPr>
          <w:rFonts w:ascii="Arial MT" w:hAnsi="Arial MT"/>
          <w:spacing w:val="-2"/>
          <w:sz w:val="20"/>
        </w:rPr>
        <w:t>personal.</w:t>
      </w:r>
    </w:p>
    <w:p>
      <w:pPr>
        <w:pStyle w:val="ListParagraph"/>
        <w:numPr>
          <w:ilvl w:val="0"/>
          <w:numId w:val="2"/>
        </w:numPr>
        <w:tabs>
          <w:tab w:pos="974" w:val="left" w:leader="none"/>
        </w:tabs>
        <w:spacing w:line="240" w:lineRule="auto" w:before="70" w:after="0"/>
        <w:ind w:left="974" w:right="0" w:hanging="122"/>
        <w:jc w:val="left"/>
        <w:rPr>
          <w:rFonts w:ascii="Arial MT" w:hAnsi="Arial MT"/>
          <w:sz w:val="20"/>
        </w:rPr>
      </w:pPr>
      <w:r>
        <w:rPr>
          <w:b/>
          <w:sz w:val="20"/>
        </w:rPr>
        <w:t>Marketing y Comunicación: </w:t>
      </w:r>
      <w:r>
        <w:rPr>
          <w:rFonts w:ascii="Arial MT" w:hAnsi="Arial MT"/>
          <w:sz w:val="20"/>
        </w:rPr>
        <w:t>Promoción, identidad corporativa y relaciones </w:t>
      </w:r>
      <w:r>
        <w:rPr>
          <w:rFonts w:ascii="Arial MT" w:hAnsi="Arial MT"/>
          <w:spacing w:val="-2"/>
          <w:sz w:val="20"/>
        </w:rPr>
        <w:t>públicas.</w:t>
      </w:r>
    </w:p>
    <w:p>
      <w:pPr>
        <w:pStyle w:val="ListParagraph"/>
        <w:numPr>
          <w:ilvl w:val="0"/>
          <w:numId w:val="2"/>
        </w:numPr>
        <w:tabs>
          <w:tab w:pos="1040" w:val="left" w:leader="none"/>
        </w:tabs>
        <w:spacing w:line="312" w:lineRule="auto" w:before="70" w:after="0"/>
        <w:ind w:left="852" w:right="1557" w:firstLine="0"/>
        <w:jc w:val="left"/>
        <w:rPr>
          <w:rFonts w:ascii="Arial MT" w:hAnsi="Arial MT"/>
          <w:sz w:val="20"/>
        </w:rPr>
      </w:pPr>
      <w:r>
        <w:rPr>
          <w:b/>
          <w:sz w:val="20"/>
        </w:rPr>
        <w:t>Tecnologías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Información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(TI):</w:t>
      </w:r>
      <w:r>
        <w:rPr>
          <w:b/>
          <w:spacing w:val="40"/>
          <w:sz w:val="20"/>
        </w:rPr>
        <w:t> </w:t>
      </w:r>
      <w:r>
        <w:rPr>
          <w:rFonts w:ascii="Arial MT" w:hAnsi="Arial MT"/>
          <w:sz w:val="20"/>
        </w:rPr>
        <w:t>Mantenimiento</w:t>
      </w:r>
      <w:r>
        <w:rPr>
          <w:rFonts w:ascii="Arial MT" w:hAnsi="Arial MT"/>
          <w:spacing w:val="40"/>
          <w:sz w:val="20"/>
        </w:rPr>
        <w:t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40"/>
          <w:sz w:val="20"/>
        </w:rPr>
        <w:t> </w:t>
      </w:r>
      <w:r>
        <w:rPr>
          <w:rFonts w:ascii="Arial MT" w:hAnsi="Arial MT"/>
          <w:sz w:val="20"/>
        </w:rPr>
        <w:t>sistemas,</w:t>
      </w:r>
      <w:r>
        <w:rPr>
          <w:rFonts w:ascii="Arial MT" w:hAnsi="Arial MT"/>
          <w:spacing w:val="40"/>
          <w:sz w:val="20"/>
        </w:rPr>
        <w:t> </w:t>
      </w:r>
      <w:r>
        <w:rPr>
          <w:rFonts w:ascii="Arial MT" w:hAnsi="Arial MT"/>
          <w:sz w:val="20"/>
        </w:rPr>
        <w:t>servidores</w:t>
      </w:r>
      <w:r>
        <w:rPr>
          <w:rFonts w:ascii="Arial MT" w:hAnsi="Arial MT"/>
          <w:spacing w:val="40"/>
          <w:sz w:val="20"/>
        </w:rPr>
        <w:t> </w:t>
      </w:r>
      <w:r>
        <w:rPr>
          <w:rFonts w:ascii="Arial MT" w:hAnsi="Arial MT"/>
          <w:sz w:val="20"/>
        </w:rPr>
        <w:t>y</w:t>
      </w:r>
      <w:r>
        <w:rPr>
          <w:rFonts w:ascii="Arial MT" w:hAnsi="Arial MT"/>
          <w:spacing w:val="40"/>
          <w:sz w:val="20"/>
        </w:rPr>
        <w:t> </w:t>
      </w:r>
      <w:r>
        <w:rPr>
          <w:rFonts w:ascii="Arial MT" w:hAnsi="Arial MT"/>
          <w:sz w:val="20"/>
        </w:rPr>
        <w:t>seguridad</w:t>
      </w:r>
      <w:r>
        <w:rPr>
          <w:rFonts w:ascii="Arial MT" w:hAnsi="Arial MT"/>
          <w:spacing w:val="40"/>
          <w:sz w:val="20"/>
        </w:rPr>
        <w:t> </w:t>
      </w:r>
      <w:r>
        <w:rPr>
          <w:rFonts w:ascii="Arial MT" w:hAnsi="Arial MT"/>
          <w:spacing w:val="-2"/>
          <w:sz w:val="20"/>
        </w:rPr>
        <w:t>informática.</w:t>
      </w:r>
    </w:p>
    <w:p>
      <w:pPr>
        <w:pStyle w:val="BodyText"/>
        <w:spacing w:before="12"/>
      </w:pPr>
    </w:p>
    <w:p>
      <w:pPr>
        <w:pStyle w:val="BodyText"/>
        <w:spacing w:line="312" w:lineRule="auto"/>
        <w:ind w:left="852" w:right="1556"/>
        <w:jc w:val="both"/>
      </w:pPr>
      <w:r>
        <w:rPr/>
        <w:t>La organización se estructura de forma jerárquica, con un director general en la cúspide </w:t>
      </w:r>
      <w:r>
        <w:rPr/>
        <w:t>y responsables de área en cada departamento. El siguiente organigrama textual resume la</w:t>
      </w:r>
      <w:r>
        <w:rPr>
          <w:spacing w:val="40"/>
        </w:rPr>
        <w:t> </w:t>
      </w:r>
      <w:r>
        <w:rPr/>
        <w:t>estructura de UrbanTech:</w:t>
      </w:r>
    </w:p>
    <w:p>
      <w:pPr>
        <w:pStyle w:val="Heading3"/>
        <w:spacing w:before="3"/>
        <w:ind w:firstLine="0"/>
      </w:pPr>
      <w:r>
        <w:rPr>
          <w:spacing w:val="-2"/>
        </w:rPr>
        <w:t>Organigrama:</w:t>
      </w:r>
    </w:p>
    <w:p>
      <w:pPr>
        <w:pStyle w:val="BodyText"/>
        <w:spacing w:before="57"/>
        <w:ind w:left="852"/>
        <w:rPr>
          <w:rFonts w:ascii="Symbol" w:hAnsi="Symbol"/>
        </w:rPr>
      </w:pPr>
      <w:r>
        <w:rPr/>
        <w:t>Dirección</w:t>
      </w:r>
      <w:r>
        <w:rPr>
          <w:spacing w:val="7"/>
        </w:rPr>
        <w:t> </w:t>
      </w:r>
      <w:r>
        <w:rPr/>
        <w:t>General</w:t>
      </w:r>
      <w:r>
        <w:rPr>
          <w:spacing w:val="7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2"/>
        </w:rPr>
        <w:t> </w:t>
      </w:r>
      <w:r>
        <w:rPr/>
        <w:t>Jefes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Departamento</w:t>
      </w:r>
      <w:r>
        <w:rPr>
          <w:spacing w:val="7"/>
        </w:rPr>
        <w:t> </w:t>
      </w:r>
      <w:r>
        <w:rPr/>
        <w:t>(Administración,</w:t>
      </w:r>
      <w:r>
        <w:rPr>
          <w:spacing w:val="7"/>
        </w:rPr>
        <w:t> </w:t>
      </w:r>
      <w:r>
        <w:rPr/>
        <w:t>Ingeniería,</w:t>
      </w:r>
      <w:r>
        <w:rPr>
          <w:spacing w:val="7"/>
        </w:rPr>
        <w:t> </w:t>
      </w:r>
      <w:r>
        <w:rPr/>
        <w:t>RRHH,</w:t>
      </w:r>
      <w:r>
        <w:rPr>
          <w:spacing w:val="7"/>
        </w:rPr>
        <w:t> </w:t>
      </w:r>
      <w:r>
        <w:rPr/>
        <w:t>Marketing,</w:t>
      </w:r>
      <w:r>
        <w:rPr>
          <w:spacing w:val="7"/>
        </w:rPr>
        <w:t> </w:t>
      </w:r>
      <w:r>
        <w:rPr/>
        <w:t>TI)</w:t>
      </w:r>
      <w:r>
        <w:rPr>
          <w:spacing w:val="7"/>
        </w:rPr>
        <w:t> </w:t>
      </w:r>
      <w:r>
        <w:rPr>
          <w:rFonts w:ascii="Symbol" w:hAnsi="Symbol"/>
          <w:spacing w:val="-10"/>
        </w:rPr>
        <w:t></w:t>
      </w:r>
    </w:p>
    <w:p>
      <w:pPr>
        <w:pStyle w:val="BodyText"/>
        <w:spacing w:before="68"/>
        <w:ind w:left="852"/>
      </w:pPr>
      <w:r>
        <w:rPr/>
        <w:t>Empleados de cada </w:t>
      </w:r>
      <w:r>
        <w:rPr>
          <w:spacing w:val="-2"/>
        </w:rPr>
        <w:t>área.</w:t>
      </w:r>
    </w:p>
    <w:p>
      <w:pPr>
        <w:pStyle w:val="BodyText"/>
        <w:spacing w:before="80"/>
      </w:pPr>
    </w:p>
    <w:p>
      <w:pPr>
        <w:pStyle w:val="BodyText"/>
        <w:spacing w:line="312" w:lineRule="auto"/>
        <w:ind w:left="852" w:right="1557"/>
        <w:jc w:val="both"/>
      </w:pPr>
      <w:r>
        <w:rPr>
          <w:rFonts w:ascii="Arial" w:hAnsi="Arial"/>
          <w:b/>
        </w:rPr>
        <w:t>Relación con los ODS: </w:t>
      </w:r>
      <w:r>
        <w:rPr/>
        <w:t>UrbanTech contribuye a los Objetivos de Desarrollo Sostenible 9 y </w:t>
      </w:r>
      <w:r>
        <w:rPr/>
        <w:t>11 (Industria, Innovación e Infraestructura y Ciudades y Comunidades Sostenibles), fomentando tecnologías limpias, reducción de consumo energético y digitalización de procesos constructivos.</w:t>
      </w:r>
    </w:p>
    <w:p>
      <w:pPr>
        <w:pStyle w:val="BodyText"/>
        <w:spacing w:after="0" w:line="312" w:lineRule="auto"/>
        <w:jc w:val="both"/>
        <w:sectPr>
          <w:pgSz w:w="11910" w:h="16840"/>
          <w:pgMar w:top="1480" w:bottom="280" w:left="708" w:right="0"/>
        </w:sectPr>
      </w:pPr>
    </w:p>
    <w:p>
      <w:pPr>
        <w:pStyle w:val="Heading1"/>
        <w:numPr>
          <w:ilvl w:val="0"/>
          <w:numId w:val="1"/>
        </w:numPr>
        <w:tabs>
          <w:tab w:pos="1163" w:val="left" w:leader="none"/>
        </w:tabs>
        <w:spacing w:line="240" w:lineRule="auto" w:before="79" w:after="0"/>
        <w:ind w:left="1163" w:right="0" w:hanging="311"/>
        <w:jc w:val="left"/>
      </w:pPr>
      <w:r>
        <w:rPr/>
        <w:t>Análisis de Necesidades </w:t>
      </w:r>
      <w:r>
        <w:rPr>
          <w:spacing w:val="-2"/>
        </w:rPr>
        <w:t>Informáticas</w:t>
      </w:r>
    </w:p>
    <w:p>
      <w:pPr>
        <w:pStyle w:val="BodyText"/>
        <w:spacing w:line="312" w:lineRule="auto" w:before="273"/>
        <w:ind w:left="852" w:right="15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436725</wp:posOffset>
                </wp:positionH>
                <wp:positionV relativeFrom="paragraph">
                  <wp:posOffset>886606</wp:posOffset>
                </wp:positionV>
                <wp:extent cx="6686550" cy="137795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686550" cy="137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00"/>
                              <w:gridCol w:w="6800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3600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4F4F4"/>
                                      <w:spacing w:val="-2"/>
                                      <w:sz w:val="20"/>
                                    </w:rPr>
                                    <w:t>Departamento</w:t>
                                  </w:r>
                                </w:p>
                              </w:tc>
                              <w:tc>
                                <w:tcPr>
                                  <w:tcW w:w="6800" w:type="dxa"/>
                                  <w:shd w:val="clear" w:color="auto" w:fill="80808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4F4F4"/>
                                      <w:sz w:val="20"/>
                                    </w:rPr>
                                    <w:t>Necesidades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4F4F4"/>
                                      <w:spacing w:val="-2"/>
                                      <w:sz w:val="20"/>
                                    </w:rPr>
                                    <w:t>Identificadas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36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Administración y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Finanzas</w:t>
                                  </w:r>
                                </w:p>
                              </w:tc>
                              <w:tc>
                                <w:tcPr>
                                  <w:tcW w:w="6800" w:type="dxa"/>
                                </w:tcPr>
                                <w:p>
                                  <w:pPr>
                                    <w:pStyle w:val="TableParagraph"/>
                                    <w:ind w:right="-8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Ordenadores de oficina, impresoras, software de contabilidad (Sage),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conex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36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Ingeniería y Diseño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CAD</w:t>
                                  </w:r>
                                </w:p>
                              </w:tc>
                              <w:tc>
                                <w:tcPr>
                                  <w:tcW w:w="6800" w:type="dxa"/>
                                </w:tcPr>
                                <w:p>
                                  <w:pPr>
                                    <w:pStyle w:val="TableParagraph"/>
                                    <w:ind w:right="-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Estaciones de trabajo de alto rendimiento, software Autodesk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AutoCAD/Rev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36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Recursos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Humanos</w:t>
                                  </w:r>
                                </w:p>
                              </w:tc>
                              <w:tc>
                                <w:tcPr>
                                  <w:tcW w:w="6800" w:type="dxa"/>
                                </w:tcPr>
                                <w:p>
                                  <w:pPr>
                                    <w:pStyle w:val="TableParagraph"/>
                                    <w:ind w:right="-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Equipos estándar, software de gestión de personal (Factorial HR), acceso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36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Marketing y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Comunicación</w:t>
                                  </w:r>
                                </w:p>
                              </w:tc>
                              <w:tc>
                                <w:tcPr>
                                  <w:tcW w:w="6800" w:type="dxa"/>
                                </w:tcPr>
                                <w:p>
                                  <w:pPr>
                                    <w:pStyle w:val="TableParagraph"/>
                                    <w:ind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Equipos multimedia, software Adobe Creative Cloud, cámaras y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micrófonos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36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Departamento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TI</w:t>
                                  </w:r>
                                </w:p>
                              </w:tc>
                              <w:tc>
                                <w:tcPr>
                                  <w:tcW w:w="6800" w:type="dxa"/>
                                </w:tcPr>
                                <w:p>
                                  <w:pPr>
                                    <w:pStyle w:val="TableParagraph"/>
                                    <w:ind w:right="-8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Servidor principal, NAS de respaldo, router profesional Cisco, switches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gesti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4.387798pt;margin-top:69.811569pt;width:526.5pt;height:108.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00"/>
                        <w:gridCol w:w="6800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3600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4F4F4"/>
                                <w:spacing w:val="-2"/>
                                <w:sz w:val="20"/>
                              </w:rPr>
                              <w:t>Departamento</w:t>
                            </w:r>
                          </w:p>
                        </w:tc>
                        <w:tc>
                          <w:tcPr>
                            <w:tcW w:w="6800" w:type="dxa"/>
                            <w:shd w:val="clear" w:color="auto" w:fill="808080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4F4F4"/>
                                <w:sz w:val="20"/>
                              </w:rPr>
                              <w:t>Necesidades </w:t>
                            </w:r>
                            <w:r>
                              <w:rPr>
                                <w:rFonts w:ascii="Arial"/>
                                <w:b/>
                                <w:color w:val="F4F4F4"/>
                                <w:spacing w:val="-2"/>
                                <w:sz w:val="20"/>
                              </w:rPr>
                              <w:t>Identificadas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36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Administración y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Finanzas</w:t>
                            </w:r>
                          </w:p>
                        </w:tc>
                        <w:tc>
                          <w:tcPr>
                            <w:tcW w:w="6800" w:type="dxa"/>
                          </w:tcPr>
                          <w:p>
                            <w:pPr>
                              <w:pStyle w:val="TableParagraph"/>
                              <w:ind w:right="-8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Ordenadores de oficina, impresoras, software de contabilidad (Sage),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conex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36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Ingeniería y Diseño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CAD</w:t>
                            </w:r>
                          </w:p>
                        </w:tc>
                        <w:tc>
                          <w:tcPr>
                            <w:tcW w:w="6800" w:type="dxa"/>
                          </w:tcPr>
                          <w:p>
                            <w:pPr>
                              <w:pStyle w:val="TableParagraph"/>
                              <w:ind w:right="-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Estaciones de trabajo de alto rendimiento, software Autodesk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AutoCAD/Rev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36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Recursos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Humanos</w:t>
                            </w:r>
                          </w:p>
                        </w:tc>
                        <w:tc>
                          <w:tcPr>
                            <w:tcW w:w="6800" w:type="dxa"/>
                          </w:tcPr>
                          <w:p>
                            <w:pPr>
                              <w:pStyle w:val="TableParagraph"/>
                              <w:ind w:right="-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Equipos estándar, software de gestión de personal (Factorial HR), acceso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al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36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Marketing y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Comunicación</w:t>
                            </w:r>
                          </w:p>
                        </w:tc>
                        <w:tc>
                          <w:tcPr>
                            <w:tcW w:w="6800" w:type="dxa"/>
                          </w:tcPr>
                          <w:p>
                            <w:pPr>
                              <w:pStyle w:val="TableParagraph"/>
                              <w:ind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Equipos multimedia, software Adobe Creative Cloud, cámaras y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micrófonos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360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Departamento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TI</w:t>
                            </w:r>
                          </w:p>
                        </w:tc>
                        <w:tc>
                          <w:tcPr>
                            <w:tcW w:w="6800" w:type="dxa"/>
                          </w:tcPr>
                          <w:p>
                            <w:pPr>
                              <w:pStyle w:val="TableParagraph"/>
                              <w:ind w:right="-8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Servidor principal, NAS de respaldo, router profesional Cisco, switches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gesti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 partir de la estructura descrita, se realiza el análisis de las necesidades informáticas para cada departamento. Este estudio considera tanto los equipos de trabajo como la red, </w:t>
      </w:r>
      <w:r>
        <w:rPr/>
        <w:t>servidores, periféricos y software requerido.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spacing w:after="0"/>
        <w:sectPr>
          <w:pgSz w:w="11910" w:h="16840"/>
          <w:pgMar w:top="1480" w:bottom="280" w:left="708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312" w:lineRule="auto" w:before="1"/>
        <w:ind w:left="852"/>
        <w:jc w:val="both"/>
      </w:pPr>
      <w:r>
        <w:rPr/>
        <w:t>En total, se prevé una infraestructura compuesta por 15 puestos de trabajo, un servidor de </w:t>
      </w:r>
      <w:r>
        <w:rPr/>
        <w:t>datos, un</w:t>
      </w:r>
      <w:r>
        <w:rPr>
          <w:spacing w:val="-5"/>
        </w:rPr>
        <w:t> </w:t>
      </w:r>
      <w:r>
        <w:rPr/>
        <w:t>servidor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copias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seguridad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red</w:t>
      </w:r>
      <w:r>
        <w:rPr>
          <w:spacing w:val="-5"/>
        </w:rPr>
        <w:t> </w:t>
      </w:r>
      <w:r>
        <w:rPr/>
        <w:t>estructurada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tres</w:t>
      </w:r>
      <w:r>
        <w:rPr>
          <w:spacing w:val="-5"/>
        </w:rPr>
        <w:t> </w:t>
      </w:r>
      <w:r>
        <w:rPr/>
        <w:t>plantas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edificio. Cada</w:t>
      </w:r>
      <w:r>
        <w:rPr>
          <w:spacing w:val="-1"/>
        </w:rPr>
        <w:t> </w:t>
      </w:r>
      <w:r>
        <w:rPr/>
        <w:t>planta</w:t>
      </w:r>
      <w:r>
        <w:rPr>
          <w:spacing w:val="-1"/>
        </w:rPr>
        <w:t> </w:t>
      </w:r>
      <w:r>
        <w:rPr/>
        <w:t>contará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switch</w:t>
      </w:r>
      <w:r>
        <w:rPr>
          <w:spacing w:val="-1"/>
        </w:rPr>
        <w:t> </w:t>
      </w:r>
      <w:r>
        <w:rPr/>
        <w:t>independiente</w:t>
      </w:r>
      <w:r>
        <w:rPr>
          <w:spacing w:val="-1"/>
        </w:rPr>
        <w:t> </w:t>
      </w:r>
      <w:r>
        <w:rPr/>
        <w:t>conectado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switch</w:t>
      </w:r>
      <w:r>
        <w:rPr>
          <w:spacing w:val="-1"/>
        </w:rPr>
        <w:t> </w:t>
      </w:r>
      <w:r>
        <w:rPr/>
        <w:t>central</w:t>
      </w:r>
      <w:r>
        <w:rPr>
          <w:spacing w:val="-1"/>
        </w:rPr>
        <w:t> </w:t>
      </w:r>
      <w:r>
        <w:rPr/>
        <w:t>ubicado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rack del Departamento de TI.</w:t>
      </w:r>
    </w:p>
    <w:p>
      <w:pPr>
        <w:pStyle w:val="BodyText"/>
        <w:spacing w:line="376" w:lineRule="auto" w:before="93"/>
        <w:ind w:left="823" w:right="-29" w:firstLine="11"/>
        <w:jc w:val="both"/>
      </w:pPr>
      <w:r>
        <w:rPr/>
        <w:br w:type="column"/>
      </w:r>
      <w:r>
        <w:rPr/>
        <w:t>ión seg it,</w:t>
      </w:r>
      <w:r>
        <w:rPr>
          <w:spacing w:val="-12"/>
        </w:rPr>
        <w:t> </w:t>
      </w:r>
      <w:r>
        <w:rPr/>
        <w:t>monit </w:t>
      </w:r>
      <w:r>
        <w:rPr>
          <w:spacing w:val="-2"/>
        </w:rPr>
        <w:t>servido </w:t>
      </w:r>
      <w:r>
        <w:rPr/>
        <w:t>para ca </w:t>
      </w:r>
      <w:r>
        <w:rPr>
          <w:spacing w:val="-2"/>
        </w:rPr>
        <w:t>onables</w:t>
      </w:r>
    </w:p>
    <w:p>
      <w:pPr>
        <w:pStyle w:val="BodyText"/>
        <w:spacing w:after="0" w:line="376" w:lineRule="auto"/>
        <w:jc w:val="both"/>
        <w:sectPr>
          <w:type w:val="continuous"/>
          <w:pgSz w:w="11910" w:h="16840"/>
          <w:pgMar w:top="1500" w:bottom="280" w:left="708" w:right="0"/>
          <w:cols w:num="2" w:equalWidth="0">
            <w:col w:w="9639" w:space="40"/>
            <w:col w:w="1523"/>
          </w:cols>
        </w:sectPr>
      </w:pPr>
    </w:p>
    <w:p>
      <w:pPr>
        <w:pStyle w:val="Heading1"/>
        <w:numPr>
          <w:ilvl w:val="0"/>
          <w:numId w:val="1"/>
        </w:numPr>
        <w:tabs>
          <w:tab w:pos="1163" w:val="left" w:leader="none"/>
        </w:tabs>
        <w:spacing w:line="240" w:lineRule="auto" w:before="79" w:after="0"/>
        <w:ind w:left="1163" w:right="0" w:hanging="311"/>
        <w:jc w:val="left"/>
      </w:pPr>
      <w:r>
        <w:rPr/>
        <w:t>Propuesta de Soluciones </w:t>
      </w:r>
      <w:r>
        <w:rPr>
          <w:spacing w:val="-2"/>
        </w:rPr>
        <w:t>Tecnológicas</w:t>
      </w:r>
    </w:p>
    <w:p>
      <w:pPr>
        <w:pStyle w:val="BodyText"/>
        <w:spacing w:line="312" w:lineRule="auto" w:before="273"/>
        <w:ind w:left="852" w:right="1556"/>
        <w:jc w:val="both"/>
      </w:pPr>
      <w:r>
        <w:rPr/>
        <w:t>Con base en el análisis anterior, se han seleccionado soluciones tecnológicas reales disponibles en el mercado a noviembre de 2025. La elección se ha realizado priorizando la </w:t>
      </w:r>
      <w:r>
        <w:rPr/>
        <w:t>eficiencia energética (equipos Energy Star), la escalabilidad y la fiabilidad de los fabricantes.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2"/>
        <w:numPr>
          <w:ilvl w:val="1"/>
          <w:numId w:val="1"/>
        </w:numPr>
        <w:tabs>
          <w:tab w:pos="1252" w:val="left" w:leader="none"/>
        </w:tabs>
        <w:spacing w:line="240" w:lineRule="auto" w:before="0" w:after="0"/>
        <w:ind w:left="1252" w:right="0" w:hanging="400"/>
        <w:jc w:val="left"/>
      </w:pPr>
      <w:r>
        <w:rPr/>
        <w:t>Equipos de hardware y </w:t>
      </w:r>
      <w:r>
        <w:rPr>
          <w:spacing w:val="-5"/>
        </w:rPr>
        <w:t>red</w:t>
      </w:r>
    </w:p>
    <w:p>
      <w:pPr>
        <w:pStyle w:val="BodyText"/>
        <w:spacing w:before="5" w:after="1"/>
        <w:rPr>
          <w:rFonts w:ascii="Arial"/>
          <w:b/>
          <w:i/>
          <w:sz w:val="19"/>
        </w:rPr>
      </w:pPr>
    </w:p>
    <w:tbl>
      <w:tblPr>
        <w:tblW w:w="0" w:type="auto"/>
        <w:jc w:val="left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800"/>
        <w:gridCol w:w="1200"/>
        <w:gridCol w:w="1400"/>
        <w:gridCol w:w="1600"/>
      </w:tblGrid>
      <w:tr>
        <w:trPr>
          <w:trHeight w:val="350" w:hRule="atLeast"/>
        </w:trPr>
        <w:tc>
          <w:tcPr>
            <w:tcW w:w="2400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Elemento</w:t>
            </w:r>
          </w:p>
        </w:tc>
        <w:tc>
          <w:tcPr>
            <w:tcW w:w="3800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Modelo / </w:t>
            </w:r>
            <w:r>
              <w:rPr>
                <w:rFonts w:ascii="Arial"/>
                <w:b/>
                <w:spacing w:val="-2"/>
                <w:sz w:val="20"/>
              </w:rPr>
              <w:t>Especificaciones</w:t>
            </w:r>
          </w:p>
        </w:tc>
        <w:tc>
          <w:tcPr>
            <w:tcW w:w="1200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Cantidad</w:t>
            </w:r>
          </w:p>
        </w:tc>
        <w:tc>
          <w:tcPr>
            <w:tcW w:w="1400" w:type="dxa"/>
            <w:shd w:val="clear" w:color="auto" w:fill="D3D3D3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Precio </w:t>
            </w:r>
            <w:r>
              <w:rPr>
                <w:rFonts w:ascii="Arial" w:hAnsi="Arial"/>
                <w:b/>
                <w:spacing w:val="-5"/>
                <w:sz w:val="20"/>
              </w:rPr>
              <w:t>(€)</w:t>
            </w:r>
          </w:p>
        </w:tc>
        <w:tc>
          <w:tcPr>
            <w:tcW w:w="1600" w:type="dxa"/>
            <w:shd w:val="clear" w:color="auto" w:fill="D3D3D3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Subtotal </w:t>
            </w:r>
            <w:r>
              <w:rPr>
                <w:rFonts w:ascii="Arial" w:hAnsi="Arial"/>
                <w:b/>
                <w:spacing w:val="-5"/>
                <w:sz w:val="20"/>
              </w:rPr>
              <w:t>(€)</w:t>
            </w:r>
          </w:p>
        </w:tc>
      </w:tr>
      <w:tr>
        <w:trPr>
          <w:trHeight w:val="350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PC </w:t>
            </w:r>
            <w:r>
              <w:rPr>
                <w:spacing w:val="-2"/>
                <w:sz w:val="20"/>
              </w:rPr>
              <w:t>Oficina</w:t>
            </w:r>
          </w:p>
        </w:tc>
        <w:tc>
          <w:tcPr>
            <w:tcW w:w="3800" w:type="dxa"/>
          </w:tcPr>
          <w:p>
            <w:pPr>
              <w:pStyle w:val="TableParagraph"/>
              <w:ind w:right="-101"/>
              <w:rPr>
                <w:sz w:val="20"/>
              </w:rPr>
            </w:pPr>
            <w:r>
              <w:rPr>
                <w:sz w:val="20"/>
              </w:rPr>
              <w:t>HP ProDesk 600 G9, Intel i5-12400, </w:t>
            </w:r>
            <w:r>
              <w:rPr>
                <w:spacing w:val="-4"/>
                <w:sz w:val="20"/>
              </w:rPr>
              <w:t>16GB</w:t>
            </w:r>
          </w:p>
        </w:tc>
        <w:tc>
          <w:tcPr>
            <w:tcW w:w="1200" w:type="dxa"/>
          </w:tcPr>
          <w:p>
            <w:pPr>
              <w:pStyle w:val="TableParagraph"/>
              <w:ind w:left="133" w:right="-130"/>
              <w:rPr>
                <w:sz w:val="20"/>
              </w:rPr>
            </w:pPr>
            <w:r>
              <w:rPr>
                <w:spacing w:val="-24"/>
                <w:sz w:val="20"/>
              </w:rPr>
              <w:t>RAM8,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512GB</w:t>
            </w:r>
          </w:p>
        </w:tc>
        <w:tc>
          <w:tcPr>
            <w:tcW w:w="1400" w:type="dxa"/>
          </w:tcPr>
          <w:p>
            <w:pPr>
              <w:pStyle w:val="TableParagraph"/>
              <w:ind w:left="166"/>
              <w:rPr>
                <w:sz w:val="20"/>
              </w:rPr>
            </w:pPr>
            <w:r>
              <w:rPr>
                <w:spacing w:val="-2"/>
                <w:sz w:val="20"/>
              </w:rPr>
              <w:t>SSD780</w:t>
            </w:r>
          </w:p>
        </w:tc>
        <w:tc>
          <w:tcPr>
            <w:tcW w:w="16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6.240</w:t>
            </w:r>
          </w:p>
        </w:tc>
      </w:tr>
      <w:tr>
        <w:trPr>
          <w:trHeight w:val="350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Estación </w:t>
            </w:r>
            <w:r>
              <w:rPr>
                <w:spacing w:val="-5"/>
                <w:sz w:val="20"/>
              </w:rPr>
              <w:t>CAD</w:t>
            </w:r>
          </w:p>
        </w:tc>
        <w:tc>
          <w:tcPr>
            <w:tcW w:w="3800" w:type="dxa"/>
          </w:tcPr>
          <w:p>
            <w:pPr>
              <w:pStyle w:val="TableParagraph"/>
              <w:ind w:right="-101"/>
              <w:rPr>
                <w:sz w:val="20"/>
              </w:rPr>
            </w:pPr>
            <w:r>
              <w:rPr>
                <w:sz w:val="20"/>
              </w:rPr>
              <w:t>Dell Precision 3660, i7-13700K, RTX </w:t>
            </w:r>
            <w:r>
              <w:rPr>
                <w:spacing w:val="-4"/>
                <w:sz w:val="20"/>
              </w:rPr>
              <w:t>3060</w:t>
            </w:r>
          </w:p>
        </w:tc>
        <w:tc>
          <w:tcPr>
            <w:tcW w:w="1200" w:type="dxa"/>
          </w:tcPr>
          <w:p>
            <w:pPr>
              <w:pStyle w:val="TableParagraph"/>
              <w:ind w:left="77" w:right="-15"/>
              <w:rPr>
                <w:sz w:val="20"/>
              </w:rPr>
            </w:pPr>
            <w:r>
              <w:rPr>
                <w:spacing w:val="-20"/>
                <w:sz w:val="20"/>
              </w:rPr>
              <w:t>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0"/>
                <w:sz w:val="20"/>
              </w:rPr>
              <w:t>32G6B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0"/>
                <w:sz w:val="20"/>
              </w:rPr>
              <w:t>RAM</w:t>
            </w:r>
          </w:p>
        </w:tc>
        <w:tc>
          <w:tcPr>
            <w:tcW w:w="1400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pacing w:val="-2"/>
                <w:sz w:val="20"/>
              </w:rPr>
              <w:t>1.900</w:t>
            </w:r>
          </w:p>
        </w:tc>
        <w:tc>
          <w:tcPr>
            <w:tcW w:w="1600" w:type="dxa"/>
          </w:tcPr>
          <w:p>
            <w:pPr>
              <w:pStyle w:val="TableParagraph"/>
              <w:ind w:left="494"/>
              <w:rPr>
                <w:sz w:val="20"/>
              </w:rPr>
            </w:pPr>
            <w:r>
              <w:rPr>
                <w:spacing w:val="-2"/>
                <w:sz w:val="20"/>
              </w:rPr>
              <w:t>11.400</w:t>
            </w:r>
          </w:p>
        </w:tc>
      </w:tr>
      <w:tr>
        <w:trPr>
          <w:trHeight w:val="350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Servidor </w:t>
            </w:r>
            <w:r>
              <w:rPr>
                <w:spacing w:val="-2"/>
                <w:sz w:val="20"/>
              </w:rPr>
              <w:t>Principal</w:t>
            </w:r>
          </w:p>
        </w:tc>
        <w:tc>
          <w:tcPr>
            <w:tcW w:w="3800" w:type="dxa"/>
          </w:tcPr>
          <w:p>
            <w:pPr>
              <w:pStyle w:val="TableParagraph"/>
              <w:ind w:right="-130"/>
              <w:rPr>
                <w:sz w:val="20"/>
              </w:rPr>
            </w:pPr>
            <w:r>
              <w:rPr>
                <w:sz w:val="20"/>
              </w:rPr>
              <w:t>Dell PowerEdge T350 Xeon E-2314, </w:t>
            </w:r>
            <w:r>
              <w:rPr>
                <w:spacing w:val="-4"/>
                <w:sz w:val="20"/>
              </w:rPr>
              <w:t>32GB</w:t>
            </w:r>
          </w:p>
        </w:tc>
        <w:tc>
          <w:tcPr>
            <w:tcW w:w="1200" w:type="dxa"/>
          </w:tcPr>
          <w:p>
            <w:pPr>
              <w:pStyle w:val="TableParagraph"/>
              <w:ind w:left="111" w:right="-130"/>
              <w:rPr>
                <w:sz w:val="20"/>
              </w:rPr>
            </w:pPr>
            <w:r>
              <w:rPr>
                <w:spacing w:val="-16"/>
                <w:sz w:val="20"/>
              </w:rPr>
              <w:t>,</w:t>
            </w:r>
            <w:r>
              <w:rPr>
                <w:sz w:val="20"/>
              </w:rPr>
              <w:t> </w:t>
            </w:r>
            <w:r>
              <w:rPr>
                <w:spacing w:val="6"/>
                <w:sz w:val="20"/>
              </w:rPr>
              <w:t>RA</w:t>
            </w:r>
            <w:r>
              <w:rPr>
                <w:spacing w:val="-6"/>
                <w:sz w:val="20"/>
              </w:rPr>
              <w:t>I</w:t>
            </w:r>
            <w:r>
              <w:rPr>
                <w:spacing w:val="-94"/>
                <w:sz w:val="20"/>
              </w:rPr>
              <w:t>1</w:t>
            </w:r>
            <w:r>
              <w:rPr>
                <w:spacing w:val="6"/>
                <w:sz w:val="20"/>
              </w:rPr>
              <w:t>D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6"/>
                <w:sz w:val="20"/>
              </w:rPr>
              <w:t>1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6"/>
                <w:sz w:val="20"/>
              </w:rPr>
              <w:t>(2x4</w:t>
            </w:r>
          </w:p>
        </w:tc>
        <w:tc>
          <w:tcPr>
            <w:tcW w:w="1400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TB)2.000</w:t>
            </w:r>
          </w:p>
        </w:tc>
        <w:tc>
          <w:tcPr>
            <w:tcW w:w="16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2.000</w:t>
            </w:r>
          </w:p>
        </w:tc>
      </w:tr>
      <w:tr>
        <w:trPr>
          <w:trHeight w:val="350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Servidor NAS </w:t>
            </w:r>
            <w:r>
              <w:rPr>
                <w:spacing w:val="-2"/>
                <w:sz w:val="20"/>
              </w:rPr>
              <w:t>Backup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Synology DS923+ con </w:t>
            </w:r>
            <w:r>
              <w:rPr>
                <w:spacing w:val="-2"/>
                <w:sz w:val="20"/>
              </w:rPr>
              <w:t>2x8TB</w:t>
            </w:r>
          </w:p>
        </w:tc>
        <w:tc>
          <w:tcPr>
            <w:tcW w:w="12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00" w:type="dxa"/>
          </w:tcPr>
          <w:p>
            <w:pPr>
              <w:pStyle w:val="TableParagraph"/>
              <w:ind w:left="449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  <w:tc>
          <w:tcPr>
            <w:tcW w:w="16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1.100</w:t>
            </w:r>
          </w:p>
        </w:tc>
      </w:tr>
      <w:tr>
        <w:trPr>
          <w:trHeight w:val="350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Router </w:t>
            </w:r>
            <w:r>
              <w:rPr>
                <w:spacing w:val="-2"/>
                <w:sz w:val="20"/>
              </w:rPr>
              <w:t>Empresarial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Cisco RV345 Dual WAN </w:t>
            </w:r>
            <w:r>
              <w:rPr>
                <w:spacing w:val="-5"/>
                <w:sz w:val="20"/>
              </w:rPr>
              <w:t>VPN</w:t>
            </w:r>
          </w:p>
        </w:tc>
        <w:tc>
          <w:tcPr>
            <w:tcW w:w="12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420</w:t>
            </w:r>
          </w:p>
        </w:tc>
        <w:tc>
          <w:tcPr>
            <w:tcW w:w="16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420</w:t>
            </w:r>
          </w:p>
        </w:tc>
      </w:tr>
      <w:tr>
        <w:trPr>
          <w:trHeight w:val="350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Switch </w:t>
            </w:r>
            <w:r>
              <w:rPr>
                <w:spacing w:val="-2"/>
                <w:sz w:val="20"/>
              </w:rPr>
              <w:t>Gigabit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Cisco SG250-26, 26 </w:t>
            </w:r>
            <w:r>
              <w:rPr>
                <w:spacing w:val="-2"/>
                <w:sz w:val="20"/>
              </w:rPr>
              <w:t>puertos</w:t>
            </w:r>
          </w:p>
        </w:tc>
        <w:tc>
          <w:tcPr>
            <w:tcW w:w="12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270</w:t>
            </w:r>
          </w:p>
        </w:tc>
        <w:tc>
          <w:tcPr>
            <w:tcW w:w="16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810</w:t>
            </w:r>
          </w:p>
        </w:tc>
      </w:tr>
      <w:tr>
        <w:trPr>
          <w:trHeight w:val="349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Puntos </w:t>
            </w:r>
            <w:r>
              <w:rPr>
                <w:spacing w:val="-4"/>
                <w:sz w:val="20"/>
              </w:rPr>
              <w:t>WiFi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Ubiquiti UniFi 6 </w:t>
            </w:r>
            <w:r>
              <w:rPr>
                <w:spacing w:val="-4"/>
                <w:sz w:val="20"/>
              </w:rPr>
              <w:t>Lite</w:t>
            </w:r>
          </w:p>
        </w:tc>
        <w:tc>
          <w:tcPr>
            <w:tcW w:w="12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16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640</w:t>
            </w:r>
          </w:p>
        </w:tc>
      </w:tr>
      <w:tr>
        <w:trPr>
          <w:trHeight w:val="350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Impresoras</w:t>
            </w:r>
          </w:p>
        </w:tc>
        <w:tc>
          <w:tcPr>
            <w:tcW w:w="3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HP LaserJet Pro </w:t>
            </w:r>
            <w:r>
              <w:rPr>
                <w:spacing w:val="-2"/>
                <w:sz w:val="20"/>
              </w:rPr>
              <w:t>M428fdn</w:t>
            </w:r>
          </w:p>
        </w:tc>
        <w:tc>
          <w:tcPr>
            <w:tcW w:w="12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330</w:t>
            </w:r>
          </w:p>
        </w:tc>
        <w:tc>
          <w:tcPr>
            <w:tcW w:w="1600" w:type="dxa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660</w:t>
            </w:r>
          </w:p>
        </w:tc>
      </w:tr>
    </w:tbl>
    <w:p>
      <w:pPr>
        <w:pStyle w:val="BodyText"/>
        <w:spacing w:before="92"/>
        <w:rPr>
          <w:rFonts w:ascii="Arial"/>
          <w:b/>
          <w:i/>
          <w:sz w:val="24"/>
        </w:rPr>
      </w:pPr>
    </w:p>
    <w:p>
      <w:pPr>
        <w:pStyle w:val="Heading3"/>
        <w:numPr>
          <w:ilvl w:val="1"/>
          <w:numId w:val="1"/>
        </w:numPr>
        <w:tabs>
          <w:tab w:pos="1185" w:val="left" w:leader="none"/>
        </w:tabs>
        <w:spacing w:line="240" w:lineRule="auto" w:before="0" w:after="0"/>
        <w:ind w:left="1185" w:right="0" w:hanging="333"/>
        <w:jc w:val="left"/>
      </w:pPr>
      <w:r>
        <w:rPr/>
        <w:t>Software y </w:t>
      </w:r>
      <w:r>
        <w:rPr>
          <w:spacing w:val="-2"/>
        </w:rPr>
        <w:t>licencias</w:t>
      </w:r>
    </w:p>
    <w:p>
      <w:pPr>
        <w:spacing w:line="312" w:lineRule="auto" w:before="70"/>
        <w:ind w:left="852" w:right="1556" w:firstLine="0"/>
        <w:jc w:val="both"/>
        <w:rPr>
          <w:sz w:val="20"/>
        </w:rPr>
      </w:pPr>
      <w:r>
        <w:rPr>
          <w:sz w:val="20"/>
        </w:rPr>
        <w:t>La suite ofimática seleccionada es </w:t>
      </w:r>
      <w:r>
        <w:rPr>
          <w:rFonts w:ascii="Arial" w:hAnsi="Arial"/>
          <w:b/>
          <w:sz w:val="20"/>
        </w:rPr>
        <w:t>Microsoft 365 Business Standard</w:t>
      </w:r>
      <w:r>
        <w:rPr>
          <w:sz w:val="20"/>
        </w:rPr>
        <w:t>, por su compatibilidad </w:t>
      </w:r>
      <w:r>
        <w:rPr>
          <w:sz w:val="20"/>
        </w:rPr>
        <w:t>con herramientas en la nube y sincronización entre equipos. Para el área de ingeniería, se utilizarán licencias anuales de </w:t>
      </w:r>
      <w:r>
        <w:rPr>
          <w:rFonts w:ascii="Arial" w:hAnsi="Arial"/>
          <w:b/>
          <w:sz w:val="20"/>
        </w:rPr>
        <w:t>Autodesk AutoCAD 2025 </w:t>
      </w:r>
      <w:r>
        <w:rPr>
          <w:sz w:val="20"/>
        </w:rPr>
        <w:t>y </w:t>
      </w:r>
      <w:r>
        <w:rPr>
          <w:rFonts w:ascii="Arial" w:hAnsi="Arial"/>
          <w:b/>
          <w:sz w:val="20"/>
        </w:rPr>
        <w:t>Revit 2025</w:t>
      </w:r>
      <w:r>
        <w:rPr>
          <w:sz w:val="20"/>
        </w:rPr>
        <w:t>. Además, se empleará </w:t>
      </w:r>
      <w:r>
        <w:rPr>
          <w:rFonts w:ascii="Arial" w:hAnsi="Arial"/>
          <w:b/>
          <w:sz w:val="20"/>
        </w:rPr>
        <w:t>Adobe Creative Cloud </w:t>
      </w:r>
      <w:r>
        <w:rPr>
          <w:sz w:val="20"/>
        </w:rPr>
        <w:t>para Marketing y </w:t>
      </w:r>
      <w:r>
        <w:rPr>
          <w:rFonts w:ascii="Arial" w:hAnsi="Arial"/>
          <w:b/>
          <w:sz w:val="20"/>
        </w:rPr>
        <w:t>Bitdefender GravityZone </w:t>
      </w:r>
      <w:r>
        <w:rPr>
          <w:sz w:val="20"/>
        </w:rPr>
        <w:t>como solución antivirus empresarial.</w:t>
      </w:r>
    </w:p>
    <w:p>
      <w:pPr>
        <w:pStyle w:val="BodyText"/>
        <w:spacing w:before="14"/>
      </w:pPr>
    </w:p>
    <w:p>
      <w:pPr>
        <w:pStyle w:val="Heading3"/>
        <w:numPr>
          <w:ilvl w:val="1"/>
          <w:numId w:val="1"/>
        </w:numPr>
        <w:tabs>
          <w:tab w:pos="1185" w:val="left" w:leader="none"/>
        </w:tabs>
        <w:spacing w:line="240" w:lineRule="auto" w:before="0" w:after="0"/>
        <w:ind w:left="1185" w:right="0" w:hanging="333"/>
        <w:jc w:val="left"/>
      </w:pPr>
      <w:r>
        <w:rPr/>
        <w:t>Aspectos innovadores y </w:t>
      </w:r>
      <w:r>
        <w:rPr>
          <w:spacing w:val="-2"/>
        </w:rPr>
        <w:t>sostenibles</w:t>
      </w:r>
    </w:p>
    <w:p>
      <w:pPr>
        <w:pStyle w:val="BodyText"/>
        <w:spacing w:line="312" w:lineRule="auto" w:before="70"/>
        <w:ind w:left="852" w:right="1556"/>
        <w:jc w:val="both"/>
      </w:pPr>
      <w:r>
        <w:rPr/>
        <w:t>UrbanTech apuesta por tecnologías sostenibles: equipos con bajo consumo, gestión </w:t>
      </w:r>
      <w:r>
        <w:rPr/>
        <w:t>centralizada de energía, virtualización parcial de servidores y copias de seguridad automatizadas. Estas medidas reducen el impacto ambiental y optimizan costes a largo plazo.</w:t>
      </w:r>
    </w:p>
    <w:p>
      <w:pPr>
        <w:pStyle w:val="BodyText"/>
        <w:spacing w:after="0" w:line="312" w:lineRule="auto"/>
        <w:jc w:val="both"/>
        <w:sectPr>
          <w:pgSz w:w="11910" w:h="16840"/>
          <w:pgMar w:top="1480" w:bottom="280" w:left="708" w:right="0"/>
        </w:sectPr>
      </w:pPr>
    </w:p>
    <w:p>
      <w:pPr>
        <w:pStyle w:val="Heading1"/>
        <w:numPr>
          <w:ilvl w:val="0"/>
          <w:numId w:val="1"/>
        </w:numPr>
        <w:tabs>
          <w:tab w:pos="1163" w:val="left" w:leader="none"/>
        </w:tabs>
        <w:spacing w:line="240" w:lineRule="auto" w:before="79" w:after="0"/>
        <w:ind w:left="1163" w:right="0" w:hanging="311"/>
        <w:jc w:val="left"/>
      </w:pPr>
      <w:r>
        <w:rPr/>
        <w:t>Presupuesto Económico y </w:t>
      </w:r>
      <w:r>
        <w:rPr>
          <w:spacing w:val="-2"/>
        </w:rPr>
        <w:t>Viabilidad</w:t>
      </w:r>
    </w:p>
    <w:p>
      <w:pPr>
        <w:pStyle w:val="BodyText"/>
        <w:spacing w:line="312" w:lineRule="auto" w:before="273"/>
        <w:ind w:left="852" w:right="1556"/>
        <w:jc w:val="both"/>
      </w:pPr>
      <w:r>
        <w:rPr/>
        <w:t>El presupuesto total estimado se compone de los costes de hardware, software, red y servicios de instalación. Se ha considerado un margen adicional del 10% para imprevistos y </w:t>
      </w:r>
      <w:r>
        <w:rPr/>
        <w:t>mantenimiento </w:t>
      </w:r>
      <w:r>
        <w:rPr>
          <w:spacing w:val="-2"/>
        </w:rPr>
        <w:t>inicial.</w:t>
      </w:r>
    </w:p>
    <w:tbl>
      <w:tblPr>
        <w:tblW w:w="0" w:type="auto"/>
        <w:jc w:val="left"/>
        <w:tblInd w:w="2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0"/>
        <w:gridCol w:w="4000"/>
      </w:tblGrid>
      <w:tr>
        <w:trPr>
          <w:trHeight w:val="350" w:hRule="atLeast"/>
        </w:trPr>
        <w:tc>
          <w:tcPr>
            <w:tcW w:w="6000" w:type="dxa"/>
            <w:shd w:val="clear" w:color="auto" w:fill="D3D3D3"/>
          </w:tcPr>
          <w:p>
            <w:pPr>
              <w:pStyle w:val="TableParagraph"/>
              <w:spacing w:before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Categoría</w:t>
            </w:r>
          </w:p>
        </w:tc>
        <w:tc>
          <w:tcPr>
            <w:tcW w:w="4000" w:type="dxa"/>
            <w:shd w:val="clear" w:color="auto" w:fill="D3D3D3"/>
          </w:tcPr>
          <w:p>
            <w:pPr>
              <w:pStyle w:val="TableParagraph"/>
              <w:spacing w:before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Coste </w:t>
            </w:r>
            <w:r>
              <w:rPr>
                <w:rFonts w:ascii="Arial" w:hAnsi="Arial"/>
                <w:b/>
                <w:spacing w:val="-5"/>
                <w:sz w:val="20"/>
              </w:rPr>
              <w:t>(€)</w:t>
            </w:r>
          </w:p>
        </w:tc>
      </w:tr>
      <w:tr>
        <w:trPr>
          <w:trHeight w:val="350" w:hRule="atLeast"/>
        </w:trPr>
        <w:tc>
          <w:tcPr>
            <w:tcW w:w="6000" w:type="dxa"/>
          </w:tcPr>
          <w:p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Equipos informáticos (PC y estaciones </w:t>
            </w:r>
            <w:r>
              <w:rPr>
                <w:spacing w:val="-4"/>
                <w:sz w:val="20"/>
              </w:rPr>
              <w:t>CAD)</w:t>
            </w:r>
          </w:p>
        </w:tc>
        <w:tc>
          <w:tcPr>
            <w:tcW w:w="4000" w:type="dxa"/>
          </w:tcPr>
          <w:p>
            <w:pPr>
              <w:pStyle w:val="TableParagraph"/>
              <w:spacing w:before="53"/>
              <w:ind w:left="0" w:right="16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17.640</w:t>
            </w:r>
          </w:p>
        </w:tc>
      </w:tr>
      <w:tr>
        <w:trPr>
          <w:trHeight w:val="350" w:hRule="atLeast"/>
        </w:trPr>
        <w:tc>
          <w:tcPr>
            <w:tcW w:w="6000" w:type="dxa"/>
          </w:tcPr>
          <w:p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Servidores y </w:t>
            </w:r>
            <w:r>
              <w:rPr>
                <w:spacing w:val="-2"/>
                <w:sz w:val="20"/>
              </w:rPr>
              <w:t>almacenamiento</w:t>
            </w:r>
          </w:p>
        </w:tc>
        <w:tc>
          <w:tcPr>
            <w:tcW w:w="4000" w:type="dxa"/>
          </w:tcPr>
          <w:p>
            <w:pPr>
              <w:pStyle w:val="TableParagraph"/>
              <w:spacing w:before="53"/>
              <w:ind w:left="0" w:right="173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3.100</w:t>
            </w:r>
          </w:p>
        </w:tc>
      </w:tr>
      <w:tr>
        <w:trPr>
          <w:trHeight w:val="350" w:hRule="atLeast"/>
        </w:trPr>
        <w:tc>
          <w:tcPr>
            <w:tcW w:w="6000" w:type="dxa"/>
          </w:tcPr>
          <w:p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Red y conectividad (switches, router, </w:t>
            </w:r>
            <w:r>
              <w:rPr>
                <w:spacing w:val="-2"/>
                <w:sz w:val="20"/>
              </w:rPr>
              <w:t>WiFi)</w:t>
            </w:r>
          </w:p>
        </w:tc>
        <w:tc>
          <w:tcPr>
            <w:tcW w:w="4000" w:type="dxa"/>
          </w:tcPr>
          <w:p>
            <w:pPr>
              <w:pStyle w:val="TableParagraph"/>
              <w:spacing w:before="53"/>
              <w:ind w:left="0" w:right="173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1.870</w:t>
            </w:r>
          </w:p>
        </w:tc>
      </w:tr>
      <w:tr>
        <w:trPr>
          <w:trHeight w:val="350" w:hRule="atLeast"/>
        </w:trPr>
        <w:tc>
          <w:tcPr>
            <w:tcW w:w="6000" w:type="dxa"/>
          </w:tcPr>
          <w:p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Periféricos e </w:t>
            </w:r>
            <w:r>
              <w:rPr>
                <w:spacing w:val="-2"/>
                <w:sz w:val="20"/>
              </w:rPr>
              <w:t>impresoras</w:t>
            </w:r>
          </w:p>
        </w:tc>
        <w:tc>
          <w:tcPr>
            <w:tcW w:w="4000" w:type="dxa"/>
          </w:tcPr>
          <w:p>
            <w:pPr>
              <w:pStyle w:val="TableParagraph"/>
              <w:spacing w:before="53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660</w:t>
            </w:r>
          </w:p>
        </w:tc>
      </w:tr>
      <w:tr>
        <w:trPr>
          <w:trHeight w:val="350" w:hRule="atLeast"/>
        </w:trPr>
        <w:tc>
          <w:tcPr>
            <w:tcW w:w="6000" w:type="dxa"/>
          </w:tcPr>
          <w:p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Software y </w:t>
            </w:r>
            <w:r>
              <w:rPr>
                <w:spacing w:val="-2"/>
                <w:sz w:val="20"/>
              </w:rPr>
              <w:t>licencias</w:t>
            </w:r>
          </w:p>
        </w:tc>
        <w:tc>
          <w:tcPr>
            <w:tcW w:w="4000" w:type="dxa"/>
          </w:tcPr>
          <w:p>
            <w:pPr>
              <w:pStyle w:val="TableParagraph"/>
              <w:spacing w:before="53"/>
              <w:ind w:left="0" w:right="173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9.500</w:t>
            </w:r>
          </w:p>
        </w:tc>
      </w:tr>
      <w:tr>
        <w:trPr>
          <w:trHeight w:val="350" w:hRule="atLeast"/>
        </w:trPr>
        <w:tc>
          <w:tcPr>
            <w:tcW w:w="6000" w:type="dxa"/>
          </w:tcPr>
          <w:p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Instalación y cableado </w:t>
            </w:r>
            <w:r>
              <w:rPr>
                <w:spacing w:val="-2"/>
                <w:sz w:val="20"/>
              </w:rPr>
              <w:t>estructurado</w:t>
            </w:r>
          </w:p>
        </w:tc>
        <w:tc>
          <w:tcPr>
            <w:tcW w:w="4000" w:type="dxa"/>
          </w:tcPr>
          <w:p>
            <w:pPr>
              <w:pStyle w:val="TableParagraph"/>
              <w:spacing w:before="53"/>
              <w:ind w:left="0" w:right="173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2.000</w:t>
            </w:r>
          </w:p>
        </w:tc>
      </w:tr>
      <w:tr>
        <w:trPr>
          <w:trHeight w:val="350" w:hRule="atLeast"/>
        </w:trPr>
        <w:tc>
          <w:tcPr>
            <w:tcW w:w="6000" w:type="dxa"/>
          </w:tcPr>
          <w:p>
            <w:pPr>
              <w:pStyle w:val="TableParagraph"/>
              <w:spacing w:before="53"/>
              <w:rPr>
                <w:sz w:val="20"/>
              </w:rPr>
            </w:pPr>
            <w:r>
              <w:rPr>
                <w:sz w:val="20"/>
              </w:rPr>
              <w:t>Mantenimiento inicial (1 </w:t>
            </w:r>
            <w:r>
              <w:rPr>
                <w:spacing w:val="-4"/>
                <w:sz w:val="20"/>
              </w:rPr>
              <w:t>año)</w:t>
            </w:r>
          </w:p>
        </w:tc>
        <w:tc>
          <w:tcPr>
            <w:tcW w:w="4000" w:type="dxa"/>
          </w:tcPr>
          <w:p>
            <w:pPr>
              <w:pStyle w:val="TableParagraph"/>
              <w:spacing w:before="53"/>
              <w:ind w:left="0" w:right="173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1.200</w:t>
            </w:r>
          </w:p>
        </w:tc>
      </w:tr>
    </w:tbl>
    <w:p>
      <w:pPr>
        <w:pStyle w:val="BodyText"/>
        <w:spacing w:before="3"/>
      </w:pPr>
    </w:p>
    <w:p>
      <w:pPr>
        <w:pStyle w:val="Heading3"/>
        <w:ind w:firstLine="0"/>
        <w:jc w:val="both"/>
      </w:pPr>
      <w:r>
        <w:rPr/>
        <w:t>Presupuesto total estimado (IVA incluido): 39.600 </w:t>
      </w:r>
      <w:r>
        <w:rPr>
          <w:spacing w:val="-10"/>
        </w:rPr>
        <w:t>€</w:t>
      </w:r>
    </w:p>
    <w:p>
      <w:pPr>
        <w:pStyle w:val="BodyText"/>
        <w:spacing w:before="20"/>
        <w:rPr>
          <w:rFonts w:ascii="Arial"/>
          <w:b/>
        </w:rPr>
      </w:pPr>
    </w:p>
    <w:p>
      <w:pPr>
        <w:pStyle w:val="BodyText"/>
        <w:spacing w:line="312" w:lineRule="auto"/>
        <w:ind w:left="852" w:right="1556"/>
        <w:jc w:val="both"/>
      </w:pPr>
      <w:r>
        <w:rPr/>
        <w:t>El coste total es coherente con el tamaño de la empresa y asegura una infraestructura robusta. </w:t>
      </w:r>
      <w:r>
        <w:rPr/>
        <w:t>La inversión</w:t>
      </w:r>
      <w:r>
        <w:rPr>
          <w:spacing w:val="-3"/>
        </w:rPr>
        <w:t> </w:t>
      </w:r>
      <w:r>
        <w:rPr/>
        <w:t>permitirá</w:t>
      </w:r>
      <w:r>
        <w:rPr>
          <w:spacing w:val="-3"/>
        </w:rPr>
        <w:t> </w:t>
      </w:r>
      <w:r>
        <w:rPr/>
        <w:t>trabajar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fluidez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próximos</w:t>
      </w:r>
      <w:r>
        <w:rPr>
          <w:spacing w:val="-3"/>
        </w:rPr>
        <w:t> </w:t>
      </w:r>
      <w:r>
        <w:rPr/>
        <w:t>cinco</w:t>
      </w:r>
      <w:r>
        <w:rPr>
          <w:spacing w:val="-3"/>
        </w:rPr>
        <w:t> </w:t>
      </w:r>
      <w:r>
        <w:rPr/>
        <w:t>años,</w:t>
      </w:r>
      <w:r>
        <w:rPr>
          <w:spacing w:val="-3"/>
        </w:rPr>
        <w:t> </w:t>
      </w:r>
      <w:r>
        <w:rPr/>
        <w:t>garantizando</w:t>
      </w:r>
      <w:r>
        <w:rPr>
          <w:spacing w:val="-3"/>
        </w:rPr>
        <w:t> </w:t>
      </w:r>
      <w:r>
        <w:rPr/>
        <w:t>escalabilidad y compatibilidad con futuras actualizaciones de software y hardware.</w:t>
      </w:r>
    </w:p>
    <w:p>
      <w:pPr>
        <w:pStyle w:val="BodyText"/>
        <w:spacing w:after="0" w:line="312" w:lineRule="auto"/>
        <w:jc w:val="both"/>
        <w:sectPr>
          <w:pgSz w:w="11910" w:h="16840"/>
          <w:pgMar w:top="1480" w:bottom="280" w:left="708" w:right="0"/>
        </w:sectPr>
      </w:pPr>
    </w:p>
    <w:p>
      <w:pPr>
        <w:pStyle w:val="Heading1"/>
        <w:numPr>
          <w:ilvl w:val="0"/>
          <w:numId w:val="1"/>
        </w:numPr>
        <w:tabs>
          <w:tab w:pos="1163" w:val="left" w:leader="none"/>
        </w:tabs>
        <w:spacing w:line="240" w:lineRule="auto" w:before="79" w:after="0"/>
        <w:ind w:left="1163" w:right="0" w:hanging="311"/>
        <w:jc w:val="left"/>
      </w:pPr>
      <w:r>
        <w:rPr>
          <w:spacing w:val="-2"/>
        </w:rPr>
        <w:t>Conclusiones</w:t>
      </w:r>
    </w:p>
    <w:p>
      <w:pPr>
        <w:pStyle w:val="BodyText"/>
        <w:spacing w:line="312" w:lineRule="auto" w:before="273"/>
        <w:ind w:left="852" w:right="1556"/>
        <w:jc w:val="both"/>
      </w:pPr>
      <w:r>
        <w:rPr/>
        <w:t>El análisis realizado permite determinar que la infraestructura tecnológica propuesta satisface plenamente las necesidades de UrbanTech Consultores S.L. Se han seleccionado equipos de alto rendimiento y software especializado para garantizar productividad y eficiencia en todos </w:t>
      </w:r>
      <w:r>
        <w:rPr/>
        <w:t>los departamentos. Además, el proyecto promueve la sostenibilidad mediante la selección de equipos energéticamente eficientes, la reducción de residuos electrónicos y la integración de soluciones en la nube que facilitan el teletrabajo. El presupuesto planteado es viable y proporciona una base sólida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fases</w:t>
      </w:r>
      <w:r>
        <w:rPr>
          <w:spacing w:val="-2"/>
        </w:rPr>
        <w:t> </w:t>
      </w:r>
      <w:r>
        <w:rPr/>
        <w:t>posteriores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proyecto,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desarrollará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diseño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red</w:t>
      </w:r>
      <w:r>
        <w:rPr>
          <w:spacing w:val="-2"/>
        </w:rPr>
        <w:t> </w:t>
      </w:r>
      <w:r>
        <w:rPr/>
        <w:t>detallado y la planificación de la implementación física.</w:t>
      </w:r>
    </w:p>
    <w:sectPr>
      <w:pgSz w:w="11910" w:h="16840"/>
      <w:pgMar w:top="1480" w:bottom="280" w:left="708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852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93" w:hanging="1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27" w:hanging="1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61" w:hanging="1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95" w:hanging="1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28" w:hanging="1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62" w:hanging="1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96" w:hanging="1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30" w:hanging="123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63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252" w:hanging="401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64" w:hanging="40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68" w:hanging="4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72" w:hanging="4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76" w:hanging="4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80" w:hanging="4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85" w:hanging="4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89" w:hanging="401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1163" w:hanging="311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852" w:hanging="400"/>
      <w:outlineLvl w:val="2"/>
    </w:pPr>
    <w:rPr>
      <w:rFonts w:ascii="Arial" w:hAnsi="Arial" w:eastAsia="Arial" w:cs="Arial"/>
      <w:b/>
      <w:bCs/>
      <w:i/>
      <w:i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852" w:hanging="333"/>
      <w:outlineLvl w:val="3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852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70"/>
      <w:ind w:left="1163" w:hanging="311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ind w:left="120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Entrega 1 - UrbanTech Consultores (Completa)</dc:title>
  <dcterms:created xsi:type="dcterms:W3CDTF">2025-11-11T11:00:04Z</dcterms:created>
  <dcterms:modified xsi:type="dcterms:W3CDTF">2025-11-11T11:00:04Z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2025-11-11T00:00:00Z</vt:filetime>
  </property>
  <property fmtid="{D5CDD505-2E9C-101B-9397-08002B2CF9AE}" pid="5" name="Producer">
    <vt:lpwstr>ReportLab PDF Library - www.reportlab.com</vt:lpwstr>
  </property>
</Properties>
</file>