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before="0" w:lineRule="auto"/>
        <w:rPr>
          <w:b w:val="1"/>
          <w:bCs w:val="1"/>
          <w:color w:val="373d49"/>
          <w:sz w:val="46"/>
          <w:szCs w:val="46"/>
        </w:rPr>
      </w:pPr>
      <w:bookmarkStart w:colFirst="0" w:colLast="0" w:name="_fre67ou6jscn" w:id="0"/>
      <w:bookmarkEnd w:id="0"/>
      <w:r w:rsidDel="00000000" w:rsidR="00000000" w:rsidRPr="00000000">
        <w:rPr>
          <w:b w:val="1"/>
          <w:bCs w:val="1"/>
          <w:color w:val="373d49"/>
          <w:sz w:val="46"/>
          <w:szCs w:val="46"/>
          <w:rtl w:val="0"/>
        </w:rPr>
        <w:t xml:space="preserve">THE B-SIDE OF EVERYTHING — CREATIVE BIBLE</w:t>
      </w:r>
    </w:p>
    <w:p w:rsidR="00000000" w:rsidDel="00000000" w:rsidP="00000000" w:rsidRDefault="00000000" w:rsidRPr="00000000" w14:paraId="00000002">
      <w:pPr>
        <w:pStyle w:val="Heading2"/>
        <w:keepNext w:val="0"/>
        <w:keepLines w:val="0"/>
        <w:shd w:fill="ffffff" w:val="clear"/>
        <w:spacing w:after="80" w:before="0" w:lineRule="auto"/>
        <w:rPr>
          <w:b w:val="1"/>
          <w:bCs w:val="1"/>
          <w:color w:val="373d49"/>
          <w:sz w:val="34"/>
          <w:szCs w:val="34"/>
        </w:rPr>
      </w:pPr>
      <w:bookmarkStart w:colFirst="0" w:colLast="0" w:name="_4jq3uhs27man" w:id="1"/>
      <w:bookmarkEnd w:id="1"/>
      <w:r w:rsidDel="00000000" w:rsidR="00000000" w:rsidRPr="00000000">
        <w:rPr>
          <w:b w:val="1"/>
          <w:bCs w:val="1"/>
          <w:color w:val="373d49"/>
          <w:sz w:val="34"/>
          <w:szCs w:val="34"/>
          <w:rtl w:val="0"/>
        </w:rPr>
        <w:t xml:space="preserve">What This Is</w:t>
      </w:r>
    </w:p>
    <w:p w:rsidR="00000000" w:rsidDel="00000000" w:rsidP="00000000" w:rsidRDefault="00000000" w:rsidRPr="00000000" w14:paraId="00000003">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A collection of para-fictional music writing by Dr. Jonathan M. Kelly. Each piece takes a real form of music journalism and fills it with an invented band. The bands are fictional. The writing is real. The goal is that the reader should be genuinely unsure whether the piece is fiction, even after being told. This uncertainty is the engine of the entire project.</w:t>
      </w:r>
    </w:p>
    <w:p w:rsidR="00000000" w:rsidDel="00000000" w:rsidP="00000000" w:rsidRDefault="00000000" w:rsidRPr="00000000" w14:paraId="00000004">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collection is presented as an archive curated by a fictional character named Skinsbury (never “TL Skinsbury,” never “Thomas Skinsbury,” just Skinsbury). Skinsbury is a collector. He finds things. He doesn’t write the pieces. He finds them and presents them with a short editorial headnote in his own voice explaining where he found them and why he kept them. Skinsbury does not know he is fictional.</w:t>
      </w:r>
    </w:p>
    <w:p w:rsidR="00000000" w:rsidDel="00000000" w:rsidP="00000000" w:rsidRDefault="00000000" w:rsidRPr="00000000" w14:paraId="00000005">
      <w:pPr>
        <w:shd w:fill="ffffff" w:val="clear"/>
        <w:spacing w:after="320" w:lineRule="auto"/>
        <w:rPr>
          <w:rFonts w:ascii="Georgia" w:cs="Georgia" w:eastAsia="Georgia" w:hAnsi="Georgia"/>
          <w:b w:val="1"/>
          <w:bCs w:val="1"/>
          <w:color w:val="a0aabf"/>
          <w:sz w:val="21"/>
          <w:szCs w:val="21"/>
          <w:u w:val="single"/>
        </w:rPr>
      </w:pPr>
      <w:r w:rsidDel="00000000" w:rsidR="00000000" w:rsidRPr="00000000">
        <w:rPr>
          <w:rFonts w:ascii="Georgia" w:cs="Georgia" w:eastAsia="Georgia" w:hAnsi="Georgia"/>
          <w:b w:val="1"/>
          <w:bCs w:val="1"/>
          <w:color w:val="373d49"/>
          <w:sz w:val="21"/>
          <w:szCs w:val="21"/>
          <w:rtl w:val="0"/>
        </w:rPr>
        <w:t xml:space="preserve">Live site: </w:t>
      </w:r>
      <w:hyperlink r:id="rId6">
        <w:r w:rsidDel="00000000" w:rsidR="00000000" w:rsidRPr="00000000">
          <w:rPr>
            <w:rFonts w:ascii="Georgia" w:cs="Georgia" w:eastAsia="Georgia" w:hAnsi="Georgia"/>
            <w:b w:val="1"/>
            <w:bCs w:val="1"/>
            <w:color w:val="a0aabf"/>
            <w:sz w:val="21"/>
            <w:szCs w:val="21"/>
            <w:u w:val="single"/>
            <w:rtl w:val="0"/>
          </w:rPr>
          <w:t xml:space="preserve">https://thebsideofeverything.com</w:t>
        </w:r>
      </w:hyperlink>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80" w:before="0" w:lineRule="auto"/>
        <w:rPr>
          <w:b w:val="1"/>
          <w:bCs w:val="1"/>
          <w:color w:val="373d49"/>
          <w:sz w:val="34"/>
          <w:szCs w:val="34"/>
        </w:rPr>
      </w:pPr>
      <w:bookmarkStart w:colFirst="0" w:colLast="0" w:name="_45lsj811g4m5" w:id="2"/>
      <w:bookmarkEnd w:id="2"/>
      <w:r w:rsidDel="00000000" w:rsidR="00000000" w:rsidRPr="00000000">
        <w:rPr>
          <w:b w:val="1"/>
          <w:bCs w:val="1"/>
          <w:color w:val="373d49"/>
          <w:sz w:val="34"/>
          <w:szCs w:val="34"/>
          <w:rtl w:val="0"/>
        </w:rPr>
        <w:t xml:space="preserve">How a Piece Gets Made</w:t>
      </w:r>
    </w:p>
    <w:p w:rsidR="00000000" w:rsidDel="00000000" w:rsidP="00000000" w:rsidRDefault="00000000" w:rsidRPr="00000000" w14:paraId="00000008">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process has phases. Do not skip or collapse them.</w:t>
      </w:r>
    </w:p>
    <w:p w:rsidR="00000000" w:rsidDel="00000000" w:rsidP="00000000" w:rsidRDefault="00000000" w:rsidRPr="00000000" w14:paraId="00000009">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Phase 1 — The Name. Start with a band name. Sit with it. What genre does it suggest? What era? What kind of people would name a band this? What kind of scene would produce them? Offer 3-4 short provocations, not pitches. Sentences that spark a direction.</w:t>
      </w:r>
    </w:p>
    <w:p w:rsidR="00000000" w:rsidDel="00000000" w:rsidP="00000000" w:rsidRDefault="00000000" w:rsidRPr="00000000" w14:paraId="0000000A">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Phase 2 — The Form. The most important decision. The form is not a container for the story. The form IS the story. A YouTube comment section tells a different story than liner notes. A dissertation chapter makes different demands than a zine review. Present 3-4 unused forms. For each, one or two sentences about what the form would allow this band’s story to do. Push past the obvious.</w:t>
      </w:r>
    </w:p>
    <w:p w:rsidR="00000000" w:rsidDel="00000000" w:rsidP="00000000" w:rsidRDefault="00000000" w:rsidRPr="00000000" w14:paraId="0000000B">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Phase 3 — The World-Build. Build only what the form requires. If the form is a live review, you need the band’s sound, the venue, the reviewer’s disposition, and one or two grounding details. You do not need a full discography. The para-fictional quality comes from the texture of specificity, not from volume of lore. A single real venue, a plausible label name, a recognizable type of scene politics does more than ten pages of backstory.</w:t>
      </w:r>
    </w:p>
    <w:p w:rsidR="00000000" w:rsidDel="00000000" w:rsidP="00000000" w:rsidRDefault="00000000" w:rsidRPr="00000000" w14:paraId="0000000C">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Phase 4 — The Draft. Write in the voice demanded by the form. If the form is a dissertation, write like a PhD candidate. If the form is a zine review, write like a French punk kid. The voice belongs to the form, not to you and not to the author. Every piece also gets a Skinsbury headnote explaining how he found it.</w:t>
      </w:r>
    </w:p>
    <w:p w:rsidR="00000000" w:rsidDel="00000000" w:rsidP="00000000" w:rsidRDefault="00000000" w:rsidRPr="00000000" w14:paraId="0000000D">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Phase 5 — Iteration. The author’s feedback is law. If something reads wrong, don’t defend it. Diagnose and rebuild. Don’t patch structural problems with line edits.</w:t>
      </w:r>
    </w:p>
    <w:p w:rsidR="00000000" w:rsidDel="00000000" w:rsidP="00000000" w:rsidRDefault="00000000" w:rsidRPr="00000000" w14:paraId="000000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80" w:before="0" w:lineRule="auto"/>
        <w:rPr>
          <w:b w:val="1"/>
          <w:bCs w:val="1"/>
          <w:color w:val="373d49"/>
          <w:sz w:val="34"/>
          <w:szCs w:val="34"/>
        </w:rPr>
      </w:pPr>
      <w:bookmarkStart w:colFirst="0" w:colLast="0" w:name="_4yq9258ha0zn" w:id="3"/>
      <w:bookmarkEnd w:id="3"/>
      <w:r w:rsidDel="00000000" w:rsidR="00000000" w:rsidRPr="00000000">
        <w:rPr>
          <w:b w:val="1"/>
          <w:bCs w:val="1"/>
          <w:color w:val="373d49"/>
          <w:sz w:val="34"/>
          <w:szCs w:val="34"/>
          <w:rtl w:val="0"/>
        </w:rPr>
        <w:t xml:space="preserve">The 15 Existing Pieces</w:t>
      </w:r>
    </w:p>
    <w:p w:rsidR="00000000" w:rsidDel="00000000" w:rsidP="00000000" w:rsidRDefault="00000000" w:rsidRPr="00000000" w14:paraId="00000010">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Each occupies a unique form. No repeats.</w:t>
      </w:r>
    </w:p>
    <w:tbl>
      <w:tblPr>
        <w:tblStyle w:val="Table1"/>
        <w:tblW w:w="889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740"/>
        <w:gridCol w:w="1545"/>
        <w:gridCol w:w="1500"/>
        <w:gridCol w:w="1260"/>
        <w:gridCol w:w="2850"/>
        <w:tblGridChange w:id="0">
          <w:tblGrid>
            <w:gridCol w:w="1740"/>
            <w:gridCol w:w="1545"/>
            <w:gridCol w:w="1500"/>
            <w:gridCol w:w="1260"/>
            <w:gridCol w:w="2850"/>
          </w:tblGrid>
        </w:tblGridChange>
      </w:tblGrid>
      <w:tr>
        <w:trPr>
          <w:cantSplit w:val="0"/>
          <w:trHeight w:val="555" w:hRule="atLeast"/>
          <w:tblHeader w:val="0"/>
        </w:trPr>
        <w:tc>
          <w:tcPr>
            <w:tcBorders>
              <w:top w:color="000000" w:space="0" w:sz="0" w:val="nil"/>
              <w:left w:color="dddddd" w:space="0" w:sz="6" w:val="single"/>
              <w:bottom w:color="dddddd" w:space="0" w:sz="12"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1">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Band</w:t>
            </w:r>
          </w:p>
        </w:tc>
        <w:tc>
          <w:tcPr>
            <w:tcBorders>
              <w:top w:color="000000" w:space="0" w:sz="0" w:val="nil"/>
              <w:left w:color="dddddd" w:space="0" w:sz="6" w:val="single"/>
              <w:bottom w:color="dddddd" w:space="0" w:sz="12"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2">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Title</w:t>
            </w:r>
          </w:p>
        </w:tc>
        <w:tc>
          <w:tcPr>
            <w:tcBorders>
              <w:top w:color="000000" w:space="0" w:sz="0" w:val="nil"/>
              <w:left w:color="dddddd" w:space="0" w:sz="6" w:val="single"/>
              <w:bottom w:color="dddddd" w:space="0" w:sz="12"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3">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Form</w:t>
            </w:r>
          </w:p>
        </w:tc>
        <w:tc>
          <w:tcPr>
            <w:tcBorders>
              <w:top w:color="000000" w:space="0" w:sz="0" w:val="nil"/>
              <w:left w:color="dddddd" w:space="0" w:sz="6" w:val="single"/>
              <w:bottom w:color="dddddd" w:space="0" w:sz="12"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4">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Year</w:t>
            </w:r>
          </w:p>
        </w:tc>
        <w:tc>
          <w:tcPr>
            <w:tcBorders>
              <w:top w:color="000000" w:space="0" w:sz="0" w:val="nil"/>
              <w:left w:color="dddddd" w:space="0" w:sz="6" w:val="single"/>
              <w:bottom w:color="dddddd" w:space="0" w:sz="12"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5">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Key Details</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6">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Royal You</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7">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Griefwave, Theremin, Whatever</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8">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Webzine Review</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9">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2004</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A">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Bristol, The Fleece, Pulse // Static, reviewer Neil Pascoe, theremin and grief</w:t>
            </w:r>
          </w:p>
        </w:tc>
      </w:tr>
      <w:tr>
        <w:trPr>
          <w:cantSplit w:val="0"/>
          <w:trHeight w:val="85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B">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A Firkin of Awkward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C">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More Than a Whine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D">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Substack Essay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E">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2026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F">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Reappraisal essay by Nate Pruitt, the part about Jesse</w:t>
            </w:r>
          </w:p>
        </w:tc>
      </w:tr>
      <w:tr>
        <w:trPr>
          <w:cantSplit w:val="0"/>
          <w:trHeight w:val="175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0">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Rue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1">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“Nest” (Live at The Bakery)</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2">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YouTube Comment Section</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3">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2013-2024</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4">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Asheville, The Bakery, Iris, a Subaru commercial, 4 years of arguments. The band is ONLY called Rue. Never Fuckhawk.</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5">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Dropdead Superegos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6">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Are Not Who You Think They Are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7">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Digital Magazine Feature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8">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2026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9">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New Noise, Mara Kinsey, LA studio, four days</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A">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Famous Candlemakers of Lebanon</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B">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Liner Notes</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C">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Vinyl Reissue Liner Notes</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D">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1972/2025</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E">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Lebanon PA, Candlepin Records, Route 422, folk</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F">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Parallax</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0">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Ototoy Interview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1">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Translated Blog Post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2">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2016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3">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Japanese electronic duo, SubFreqBlog, Koji and Sana, monkey proverbs</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4">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Panhandling for God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5">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Sound and Sanctity</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6">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Dissertation Chapter</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7">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2024</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8">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Ohio State, Amanda Harrisburg, campus funk band, janitor’s closet, B213</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9">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WBTK 98.3 The Beat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A">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Morning Lift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B">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Radio Transcript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C">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1995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D">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Norfolk VA, D-Block/Shanice/Mike, Curtis and his band</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E">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Yoko Beato</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F">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A Devotional Signal Arrives in Amsterdam</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0">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Show Preview</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1">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2025</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2">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Subtone/3voor12, Lars Jansen, Paradiso, Ballarat, mystery</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3">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Lowfield Records / Marcos Barrera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4">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AMA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5">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Reddit AMA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6">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7">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r/indieheads, Phoenix ambient label, the loud band before</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8">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Claudette Boone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9">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Blindfold Test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A">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Student Journal Feature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B">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2026</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C">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Waukesha College, Forty-Four journal, Kelly Platz, percussion professor, 9 tracks</w:t>
            </w:r>
          </w:p>
        </w:tc>
      </w:tr>
      <w:tr>
        <w:trPr>
          <w:cantSplit w:val="0"/>
          <w:trHeight w:val="85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D">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Tactical Duck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E">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All Brakes Removed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F">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Punk Zine Review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0">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1998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1">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Sortie #14, Lyon, Emile, the bassist, white vinyl 7"</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2">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Categoristics</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3">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Room Knows</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4">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Industry Newsletter Column</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5">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2025</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6">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Booking Sheet, Nate Kovacs, tent show in 2018</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7">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Random Bread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8">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Local Frequency with Dale Sievert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9">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VHS Tape Transcript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A">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1997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B">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DCAT-19, Decatur IL, community access TV, the calico cat</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C">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Johnny Chavaddo</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D">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Shore Leave entry</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E">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Record Guide Entry</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F">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1987</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60">
            <w:pPr>
              <w:spacing w:after="300" w:before="240" w:line="342.8568"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Point Pleasant NJ, Jetty Records, Harold Kiehn, Salt Debt, died at 26</w:t>
            </w:r>
          </w:p>
        </w:tc>
      </w:tr>
    </w:tbl>
    <w:p w:rsidR="00000000" w:rsidDel="00000000" w:rsidP="00000000" w:rsidRDefault="00000000" w:rsidRPr="00000000" w14:paraId="000000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hd w:fill="ffffff" w:val="clear"/>
        <w:spacing w:after="80" w:before="0" w:lineRule="auto"/>
        <w:rPr>
          <w:b w:val="1"/>
          <w:bCs w:val="1"/>
          <w:color w:val="373d49"/>
          <w:sz w:val="34"/>
          <w:szCs w:val="34"/>
        </w:rPr>
      </w:pPr>
      <w:bookmarkStart w:colFirst="0" w:colLast="0" w:name="_1p1s2b6uzez7" w:id="4"/>
      <w:bookmarkEnd w:id="4"/>
      <w:r w:rsidDel="00000000" w:rsidR="00000000" w:rsidRPr="00000000">
        <w:rPr>
          <w:b w:val="1"/>
          <w:bCs w:val="1"/>
          <w:color w:val="373d49"/>
          <w:sz w:val="34"/>
          <w:szCs w:val="34"/>
          <w:rtl w:val="0"/>
        </w:rPr>
        <w:t xml:space="preserve">Forms Already Used (Off Limits)</w:t>
      </w:r>
    </w:p>
    <w:p w:rsidR="00000000" w:rsidDel="00000000" w:rsidP="00000000" w:rsidRDefault="00000000" w:rsidRPr="00000000" w14:paraId="00000063">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Webzine Review, Substack Essay, YouTube Comment Section, Digital Magazine Feature, Vinyl Reissue Liner Notes, Translated Blog Post, Dissertation Chapter, Radio Transcript, Show Preview, Reddit AMA, Student Journal Feature, Punk Zine Review, Industry Newsletter Column, VHS Tape Transcript, Record Guide Entry.</w:t>
      </w:r>
    </w:p>
    <w:p w:rsidR="00000000" w:rsidDel="00000000" w:rsidP="00000000" w:rsidRDefault="00000000" w:rsidRPr="00000000" w14:paraId="000000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hd w:fill="ffffff" w:val="clear"/>
        <w:spacing w:after="80" w:before="0" w:lineRule="auto"/>
        <w:rPr>
          <w:b w:val="1"/>
          <w:bCs w:val="1"/>
          <w:color w:val="373d49"/>
          <w:sz w:val="34"/>
          <w:szCs w:val="34"/>
        </w:rPr>
      </w:pPr>
      <w:bookmarkStart w:colFirst="0" w:colLast="0" w:name="_41v45jvuzt2y" w:id="5"/>
      <w:bookmarkEnd w:id="5"/>
      <w:r w:rsidDel="00000000" w:rsidR="00000000" w:rsidRPr="00000000">
        <w:rPr>
          <w:b w:val="1"/>
          <w:bCs w:val="1"/>
          <w:color w:val="373d49"/>
          <w:sz w:val="34"/>
          <w:szCs w:val="34"/>
          <w:rtl w:val="0"/>
        </w:rPr>
        <w:t xml:space="preserve">Forms That Could Work for New Pieces</w:t>
      </w:r>
    </w:p>
    <w:p w:rsidR="00000000" w:rsidDel="00000000" w:rsidP="00000000" w:rsidRDefault="00000000" w:rsidRPr="00000000" w14:paraId="00000066">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These are forms with enough room to carry a full piece where the band is the subject:</w:t>
      </w:r>
    </w:p>
    <w:p w:rsidR="00000000" w:rsidDel="00000000" w:rsidP="00000000" w:rsidRDefault="00000000" w:rsidRPr="00000000" w14:paraId="00000067">
      <w:pPr>
        <w:numPr>
          <w:ilvl w:val="0"/>
          <w:numId w:val="1"/>
        </w:numPr>
        <w:shd w:fill="ffffff" w:val="clear"/>
        <w:spacing w:after="0" w:afterAutospacing="0" w:before="22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Oral history (multiple voices, contradictions, no narrator)</w:t>
      </w:r>
    </w:p>
    <w:p w:rsidR="00000000" w:rsidDel="00000000" w:rsidP="00000000" w:rsidRDefault="00000000" w:rsidRPr="00000000" w14:paraId="00000068">
      <w:pPr>
        <w:numPr>
          <w:ilvl w:val="0"/>
          <w:numId w:val="1"/>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Tour diary (daily entries from inside the van)</w:t>
      </w:r>
    </w:p>
    <w:p w:rsidR="00000000" w:rsidDel="00000000" w:rsidP="00000000" w:rsidRDefault="00000000" w:rsidRPr="00000000" w14:paraId="00000069">
      <w:pPr>
        <w:numPr>
          <w:ilvl w:val="0"/>
          <w:numId w:val="1"/>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Documentary transcript (a film that was never released)</w:t>
      </w:r>
    </w:p>
    <w:p w:rsidR="00000000" w:rsidDel="00000000" w:rsidP="00000000" w:rsidRDefault="00000000" w:rsidRPr="00000000" w14:paraId="0000006A">
      <w:pPr>
        <w:numPr>
          <w:ilvl w:val="0"/>
          <w:numId w:val="1"/>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Podcast transcript (two hosts, digressions, one gets emotional)</w:t>
      </w:r>
    </w:p>
    <w:p w:rsidR="00000000" w:rsidDel="00000000" w:rsidP="00000000" w:rsidRDefault="00000000" w:rsidRPr="00000000" w14:paraId="0000006B">
      <w:pPr>
        <w:numPr>
          <w:ilvl w:val="0"/>
          <w:numId w:val="1"/>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Memoir excerpt (a chapter from someone’s book, the band changed them)</w:t>
      </w:r>
    </w:p>
    <w:p w:rsidR="00000000" w:rsidDel="00000000" w:rsidP="00000000" w:rsidRDefault="00000000" w:rsidRPr="00000000" w14:paraId="0000006C">
      <w:pPr>
        <w:numPr>
          <w:ilvl w:val="0"/>
          <w:numId w:val="1"/>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Court deposition (testimony under oath about the band)</w:t>
      </w:r>
    </w:p>
    <w:p w:rsidR="00000000" w:rsidDel="00000000" w:rsidP="00000000" w:rsidRDefault="00000000" w:rsidRPr="00000000" w14:paraId="0000006D">
      <w:pPr>
        <w:numPr>
          <w:ilvl w:val="0"/>
          <w:numId w:val="1"/>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Scene history chapter (excerpt from a book about a city’s music scene)</w:t>
      </w:r>
    </w:p>
    <w:p w:rsidR="00000000" w:rsidDel="00000000" w:rsidP="00000000" w:rsidRDefault="00000000" w:rsidRPr="00000000" w14:paraId="0000006E">
      <w:pPr>
        <w:numPr>
          <w:ilvl w:val="0"/>
          <w:numId w:val="1"/>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Fanzine interview (long Q&amp;A, the interviewer worships the band)</w:t>
      </w:r>
    </w:p>
    <w:p w:rsidR="00000000" w:rsidDel="00000000" w:rsidP="00000000" w:rsidRDefault="00000000" w:rsidRPr="00000000" w14:paraId="0000006F">
      <w:pPr>
        <w:numPr>
          <w:ilvl w:val="0"/>
          <w:numId w:val="1"/>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Annotated lyrics (footnotes longer than the lyrics, footnotes disagree)</w:t>
      </w:r>
    </w:p>
    <w:p w:rsidR="00000000" w:rsidDel="00000000" w:rsidP="00000000" w:rsidRDefault="00000000" w:rsidRPr="00000000" w14:paraId="00000070">
      <w:pPr>
        <w:numPr>
          <w:ilvl w:val="0"/>
          <w:numId w:val="1"/>
        </w:numPr>
        <w:shd w:fill="ffffff" w:val="clear"/>
        <w:spacing w:after="20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College radio music director’s notes (rotation docs over six months)</w:t>
      </w:r>
    </w:p>
    <w:p w:rsidR="00000000" w:rsidDel="00000000" w:rsidP="00000000" w:rsidRDefault="00000000" w:rsidRPr="00000000" w14:paraId="000000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hd w:fill="ffffff" w:val="clear"/>
        <w:spacing w:after="80" w:before="0" w:lineRule="auto"/>
        <w:rPr>
          <w:b w:val="1"/>
          <w:bCs w:val="1"/>
          <w:color w:val="373d49"/>
          <w:sz w:val="34"/>
          <w:szCs w:val="34"/>
        </w:rPr>
      </w:pPr>
      <w:bookmarkStart w:colFirst="0" w:colLast="0" w:name="_a1xpuhmxm66z" w:id="6"/>
      <w:bookmarkEnd w:id="6"/>
      <w:r w:rsidDel="00000000" w:rsidR="00000000" w:rsidRPr="00000000">
        <w:rPr>
          <w:b w:val="1"/>
          <w:bCs w:val="1"/>
          <w:color w:val="373d49"/>
          <w:sz w:val="34"/>
          <w:szCs w:val="34"/>
          <w:rtl w:val="0"/>
        </w:rPr>
        <w:t xml:space="preserve">Style Rules (Absolute)</w:t>
      </w:r>
    </w:p>
    <w:p w:rsidR="00000000" w:rsidDel="00000000" w:rsidP="00000000" w:rsidRDefault="00000000" w:rsidRPr="00000000" w14:paraId="00000073">
      <w:pPr>
        <w:numPr>
          <w:ilvl w:val="0"/>
          <w:numId w:val="4"/>
        </w:numPr>
        <w:shd w:fill="ffffff" w:val="clear"/>
        <w:spacing w:after="0" w:afterAutospacing="0" w:before="22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Never use em dashes or en dashes. Use periods, commas, semicolons, or restructure.</w:t>
      </w:r>
    </w:p>
    <w:p w:rsidR="00000000" w:rsidDel="00000000" w:rsidP="00000000" w:rsidRDefault="00000000" w:rsidRPr="00000000" w14:paraId="00000074">
      <w:pPr>
        <w:numPr>
          <w:ilvl w:val="0"/>
          <w:numId w:val="4"/>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Vary sentence length and rhythm with intention.</w:t>
      </w:r>
    </w:p>
    <w:p w:rsidR="00000000" w:rsidDel="00000000" w:rsidP="00000000" w:rsidRDefault="00000000" w:rsidRPr="00000000" w14:paraId="00000075">
      <w:pPr>
        <w:numPr>
          <w:ilvl w:val="0"/>
          <w:numId w:val="4"/>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Do not simplify, over-explain, or hedge.</w:t>
      </w:r>
    </w:p>
    <w:p w:rsidR="00000000" w:rsidDel="00000000" w:rsidP="00000000" w:rsidRDefault="00000000" w:rsidRPr="00000000" w14:paraId="00000076">
      <w:pPr>
        <w:numPr>
          <w:ilvl w:val="0"/>
          <w:numId w:val="4"/>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Avoid filler, generic transitions, and summary conclusions.</w:t>
      </w:r>
    </w:p>
    <w:p w:rsidR="00000000" w:rsidDel="00000000" w:rsidP="00000000" w:rsidRDefault="00000000" w:rsidRPr="00000000" w14:paraId="00000077">
      <w:pPr>
        <w:numPr>
          <w:ilvl w:val="0"/>
          <w:numId w:val="4"/>
        </w:numPr>
        <w:shd w:fill="ffffff" w:val="clear"/>
        <w:spacing w:after="20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No bullet points in prose. Ever.</w:t>
      </w:r>
    </w:p>
    <w:p w:rsidR="00000000" w:rsidDel="00000000" w:rsidP="00000000" w:rsidRDefault="00000000" w:rsidRPr="00000000" w14:paraId="00000078">
      <w:pPr>
        <w:pStyle w:val="Heading2"/>
        <w:keepNext w:val="0"/>
        <w:keepLines w:val="0"/>
        <w:shd w:fill="ffffff" w:val="clear"/>
        <w:spacing w:after="80" w:before="0" w:lineRule="auto"/>
        <w:rPr>
          <w:b w:val="1"/>
          <w:bCs w:val="1"/>
          <w:color w:val="373d49"/>
          <w:sz w:val="34"/>
          <w:szCs w:val="34"/>
        </w:rPr>
      </w:pPr>
      <w:bookmarkStart w:colFirst="0" w:colLast="0" w:name="_wi0glgdu002k" w:id="7"/>
      <w:bookmarkEnd w:id="7"/>
      <w:r w:rsidDel="00000000" w:rsidR="00000000" w:rsidRPr="00000000">
        <w:rPr>
          <w:b w:val="1"/>
          <w:bCs w:val="1"/>
          <w:color w:val="373d49"/>
          <w:sz w:val="34"/>
          <w:szCs w:val="34"/>
          <w:rtl w:val="0"/>
        </w:rPr>
        <w:t xml:space="preserve">Craft Rules (Absolute)</w:t>
      </w:r>
    </w:p>
    <w:p w:rsidR="00000000" w:rsidDel="00000000" w:rsidP="00000000" w:rsidRDefault="00000000" w:rsidRPr="00000000" w14:paraId="00000079">
      <w:pPr>
        <w:numPr>
          <w:ilvl w:val="0"/>
          <w:numId w:val="2"/>
        </w:numPr>
        <w:shd w:fill="ffffff" w:val="clear"/>
        <w:spacing w:after="0" w:afterAutospacing="0" w:before="22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Information arrives through scenes, details, and implications. Never through announcements. Don’t say “she was the most important member.” Show her being important.</w:t>
      </w:r>
    </w:p>
    <w:p w:rsidR="00000000" w:rsidDel="00000000" w:rsidP="00000000" w:rsidRDefault="00000000" w:rsidRPr="00000000" w14:paraId="0000007A">
      <w:pPr>
        <w:numPr>
          <w:ilvl w:val="0"/>
          <w:numId w:val="2"/>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Resist the explicit. The reader assembles the picture. The writer provides the pieces.</w:t>
      </w:r>
    </w:p>
    <w:p w:rsidR="00000000" w:rsidDel="00000000" w:rsidP="00000000" w:rsidRDefault="00000000" w:rsidRPr="00000000" w14:paraId="0000007B">
      <w:pPr>
        <w:numPr>
          <w:ilvl w:val="0"/>
          <w:numId w:val="2"/>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Push against convenience. If a sentence is easy to write, it’s probably easy to skip.</w:t>
      </w:r>
    </w:p>
    <w:p w:rsidR="00000000" w:rsidDel="00000000" w:rsidP="00000000" w:rsidRDefault="00000000" w:rsidRPr="00000000" w14:paraId="0000007C">
      <w:pPr>
        <w:numPr>
          <w:ilvl w:val="0"/>
          <w:numId w:val="2"/>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Emotion lives in the specific. “The show was moving” is nothing. “Three days later, I found myself whispering what I think was a lyric while staring out a bus window” is everything.</w:t>
      </w:r>
    </w:p>
    <w:p w:rsidR="00000000" w:rsidDel="00000000" w:rsidP="00000000" w:rsidRDefault="00000000" w:rsidRPr="00000000" w14:paraId="0000007D">
      <w:pPr>
        <w:numPr>
          <w:ilvl w:val="0"/>
          <w:numId w:val="2"/>
        </w:numPr>
        <w:shd w:fill="ffffff" w:val="clear"/>
        <w:spacing w:after="20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Real musicians, real venues, real publications, and real cultural references appear alongside the fictional band. This is essential to the para-fictional effect. Ground the invented in the actual.</w:t>
      </w:r>
    </w:p>
    <w:p w:rsidR="00000000" w:rsidDel="00000000" w:rsidP="00000000" w:rsidRDefault="00000000" w:rsidRPr="00000000" w14:paraId="0000007E">
      <w:pPr>
        <w:pStyle w:val="Heading2"/>
        <w:keepNext w:val="0"/>
        <w:keepLines w:val="0"/>
        <w:shd w:fill="ffffff" w:val="clear"/>
        <w:spacing w:after="80" w:before="0" w:lineRule="auto"/>
        <w:rPr>
          <w:b w:val="1"/>
          <w:bCs w:val="1"/>
          <w:color w:val="373d49"/>
          <w:sz w:val="34"/>
          <w:szCs w:val="34"/>
        </w:rPr>
      </w:pPr>
      <w:bookmarkStart w:colFirst="0" w:colLast="0" w:name="_9my5b9lkw20x" w:id="8"/>
      <w:bookmarkEnd w:id="8"/>
      <w:r w:rsidDel="00000000" w:rsidR="00000000" w:rsidRPr="00000000">
        <w:rPr>
          <w:b w:val="1"/>
          <w:bCs w:val="1"/>
          <w:color w:val="373d49"/>
          <w:sz w:val="34"/>
          <w:szCs w:val="34"/>
          <w:rtl w:val="0"/>
        </w:rPr>
        <w:t xml:space="preserve">What Never Happens</w:t>
      </w:r>
    </w:p>
    <w:p w:rsidR="00000000" w:rsidDel="00000000" w:rsidP="00000000" w:rsidRDefault="00000000" w:rsidRPr="00000000" w14:paraId="0000007F">
      <w:pPr>
        <w:numPr>
          <w:ilvl w:val="0"/>
          <w:numId w:val="3"/>
        </w:numPr>
        <w:shd w:fill="ffffff" w:val="clear"/>
        <w:spacing w:after="0" w:afterAutospacing="0" w:before="22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No section headers that announce characters (“The Bassist,” “The Quiet One”).</w:t>
      </w:r>
    </w:p>
    <w:p w:rsidR="00000000" w:rsidDel="00000000" w:rsidP="00000000" w:rsidRDefault="00000000" w:rsidRPr="00000000" w14:paraId="00000080">
      <w:pPr>
        <w:numPr>
          <w:ilvl w:val="0"/>
          <w:numId w:val="3"/>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No press-kit prose. No sentence should sound like it belongs in a band bio.</w:t>
      </w:r>
    </w:p>
    <w:p w:rsidR="00000000" w:rsidDel="00000000" w:rsidP="00000000" w:rsidRDefault="00000000" w:rsidRPr="00000000" w14:paraId="00000081">
      <w:pPr>
        <w:numPr>
          <w:ilvl w:val="0"/>
          <w:numId w:val="3"/>
        </w:numPr>
        <w:shd w:fill="ffffff" w:val="clear"/>
        <w:spacing w:after="0" w:afterAutospacing="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The collector is always Skinsbury. Never “TL Skinsbury.” Never “Thomas Skinsbury.”</w:t>
      </w:r>
    </w:p>
    <w:p w:rsidR="00000000" w:rsidDel="00000000" w:rsidP="00000000" w:rsidRDefault="00000000" w:rsidRPr="00000000" w14:paraId="00000082">
      <w:pPr>
        <w:numPr>
          <w:ilvl w:val="0"/>
          <w:numId w:val="3"/>
        </w:numPr>
        <w:shd w:fill="ffffff" w:val="clear"/>
        <w:spacing w:after="200" w:before="0" w:beforeAutospacing="0" w:lineRule="auto"/>
        <w:ind w:left="720" w:hanging="360"/>
        <w:rPr>
          <w:b w:val="1"/>
          <w:bCs w:val="1"/>
        </w:rPr>
      </w:pPr>
      <w:r w:rsidDel="00000000" w:rsidR="00000000" w:rsidRPr="00000000">
        <w:rPr>
          <w:rFonts w:ascii="Georgia" w:cs="Georgia" w:eastAsia="Georgia" w:hAnsi="Georgia"/>
          <w:b w:val="1"/>
          <w:bCs w:val="1"/>
          <w:color w:val="373d49"/>
          <w:sz w:val="21"/>
          <w:szCs w:val="21"/>
          <w:rtl w:val="0"/>
        </w:rPr>
        <w:t xml:space="preserve">Skinsbury does not know he is fictional. He never breaks the frame. The About page, the Submissions page, the headnotes: all written from inside the illusion.</w:t>
      </w:r>
    </w:p>
    <w:p w:rsidR="00000000" w:rsidDel="00000000" w:rsidP="00000000" w:rsidRDefault="00000000" w:rsidRPr="00000000" w14:paraId="000000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hd w:fill="ffffff" w:val="clear"/>
        <w:spacing w:after="80" w:before="0" w:lineRule="auto"/>
        <w:rPr>
          <w:b w:val="1"/>
          <w:bCs w:val="1"/>
          <w:color w:val="373d49"/>
          <w:sz w:val="34"/>
          <w:szCs w:val="34"/>
        </w:rPr>
      </w:pPr>
      <w:bookmarkStart w:colFirst="0" w:colLast="0" w:name="_7x67kgcy8nll" w:id="9"/>
      <w:bookmarkEnd w:id="9"/>
      <w:r w:rsidDel="00000000" w:rsidR="00000000" w:rsidRPr="00000000">
        <w:rPr>
          <w:b w:val="1"/>
          <w:bCs w:val="1"/>
          <w:color w:val="373d49"/>
          <w:sz w:val="34"/>
          <w:szCs w:val="34"/>
          <w:rtl w:val="0"/>
        </w:rPr>
        <w:t xml:space="preserve">The Headnote</w:t>
      </w:r>
    </w:p>
    <w:p w:rsidR="00000000" w:rsidDel="00000000" w:rsidP="00000000" w:rsidRDefault="00000000" w:rsidRPr="00000000" w14:paraId="00000085">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Every piece has an editorial headnote written by Skinsbury. It appears above the piece on the site. It explains where he found the piece and why he kept it. It is always in his voice: casual, specific, slightly wry, never performative. He mentions real places, real formats, real ways that ephemeral music writing actually circulates. He does not summarize the piece. He tells you how it came to him and one thing about it that stuck.</w:t>
      </w:r>
    </w:p>
    <w:p w:rsidR="00000000" w:rsidDel="00000000" w:rsidP="00000000" w:rsidRDefault="00000000" w:rsidRPr="00000000" w14:paraId="000000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hd w:fill="ffffff" w:val="clear"/>
        <w:spacing w:after="80" w:before="0" w:lineRule="auto"/>
        <w:rPr>
          <w:b w:val="1"/>
          <w:bCs w:val="1"/>
          <w:color w:val="373d49"/>
          <w:sz w:val="34"/>
          <w:szCs w:val="34"/>
        </w:rPr>
      </w:pPr>
      <w:bookmarkStart w:colFirst="0" w:colLast="0" w:name="_xxywbymqxrcp" w:id="10"/>
      <w:bookmarkEnd w:id="10"/>
      <w:r w:rsidDel="00000000" w:rsidR="00000000" w:rsidRPr="00000000">
        <w:rPr>
          <w:b w:val="1"/>
          <w:bCs w:val="1"/>
          <w:color w:val="373d49"/>
          <w:sz w:val="34"/>
          <w:szCs w:val="34"/>
          <w:rtl w:val="0"/>
        </w:rPr>
        <w:t xml:space="preserve">The Para-Fictional Line</w:t>
      </w:r>
    </w:p>
    <w:p w:rsidR="00000000" w:rsidDel="00000000" w:rsidP="00000000" w:rsidRDefault="00000000" w:rsidRPr="00000000" w14:paraId="00000088">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This is the most important thing in the project. Every detail should serve the illusion that the band could be real. The reader should Google them. The reader should check Discogs. The reader should wonder. The moment the writing feels like fiction, the piece has failed. The moment it feels like journalism, it’s working.</w:t>
      </w:r>
    </w:p>
    <w:p w:rsidR="00000000" w:rsidDel="00000000" w:rsidP="00000000" w:rsidRDefault="00000000" w:rsidRPr="00000000" w14:paraId="00000089">
      <w:pPr>
        <w:shd w:fill="ffffff" w:val="clear"/>
        <w:spacing w:after="320" w:lineRule="auto"/>
        <w:rPr>
          <w:rFonts w:ascii="Georgia" w:cs="Georgia" w:eastAsia="Georgia" w:hAnsi="Georgia"/>
          <w:b w:val="1"/>
          <w:bCs w:val="1"/>
          <w:color w:val="373d49"/>
          <w:sz w:val="21"/>
          <w:szCs w:val="21"/>
        </w:rPr>
      </w:pPr>
      <w:r w:rsidDel="00000000" w:rsidR="00000000" w:rsidRPr="00000000">
        <w:rPr>
          <w:rFonts w:ascii="Georgia" w:cs="Georgia" w:eastAsia="Georgia" w:hAnsi="Georgia"/>
          <w:b w:val="1"/>
          <w:bCs w:val="1"/>
          <w:color w:val="373d49"/>
          <w:sz w:val="21"/>
          <w:szCs w:val="21"/>
          <w:rtl w:val="0"/>
        </w:rPr>
        <w:t xml:space="preserve">The trick is specificity. Not volume. A real venue in the right city. A plausible catalog number. A recognizable type of label politics. A reviewer whose tone matches the publication’s era. One detail that rings true does more than a full biography.</w:t>
      </w:r>
    </w:p>
    <w:p w:rsidR="00000000" w:rsidDel="00000000" w:rsidP="00000000" w:rsidRDefault="00000000" w:rsidRPr="00000000" w14:paraId="000000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hd w:fill="ffffff" w:val="clear"/>
        <w:spacing w:after="80" w:before="0" w:lineRule="auto"/>
        <w:rPr>
          <w:b w:val="1"/>
          <w:bCs w:val="1"/>
          <w:color w:val="373d49"/>
          <w:sz w:val="34"/>
          <w:szCs w:val="34"/>
        </w:rPr>
      </w:pPr>
      <w:bookmarkStart w:colFirst="0" w:colLast="0" w:name="_b0bk2hjzs1ja" w:id="11"/>
      <w:bookmarkEnd w:id="11"/>
      <w:r w:rsidDel="00000000" w:rsidR="00000000" w:rsidRPr="00000000">
        <w:rPr>
          <w:b w:val="1"/>
          <w:bCs w:val="1"/>
          <w:color w:val="373d49"/>
          <w:sz w:val="34"/>
          <w:szCs w:val="34"/>
          <w:rtl w:val="0"/>
        </w:rPr>
        <w:t xml:space="preserve">About the Author</w:t>
      </w:r>
    </w:p>
    <w:p w:rsidR="00000000" w:rsidDel="00000000" w:rsidP="00000000" w:rsidRDefault="00000000" w:rsidRPr="00000000" w14:paraId="0000008C">
      <w:pPr>
        <w:shd w:fill="ffffff" w:val="clear"/>
        <w:spacing w:after="320" w:lineRule="auto"/>
        <w:rPr/>
      </w:pPr>
      <w:r w:rsidDel="00000000" w:rsidR="00000000" w:rsidRPr="00000000">
        <w:rPr>
          <w:rFonts w:ascii="Georgia" w:cs="Georgia" w:eastAsia="Georgia" w:hAnsi="Georgia"/>
          <w:b w:val="1"/>
          <w:bCs w:val="1"/>
          <w:color w:val="373d49"/>
          <w:sz w:val="21"/>
          <w:szCs w:val="21"/>
          <w:rtl w:val="0"/>
        </w:rPr>
        <w:t xml:space="preserve">Dr. Jonathan M. Kelly, D.Litt. in Creative Writing. Author site: </w:t>
      </w:r>
      <w:hyperlink r:id="rId7">
        <w:r w:rsidDel="00000000" w:rsidR="00000000" w:rsidRPr="00000000">
          <w:rPr>
            <w:rFonts w:ascii="Georgia" w:cs="Georgia" w:eastAsia="Georgia" w:hAnsi="Georgia"/>
            <w:b w:val="1"/>
            <w:bCs w:val="1"/>
            <w:color w:val="a0aabf"/>
            <w:sz w:val="21"/>
            <w:szCs w:val="21"/>
            <w:u w:val="single"/>
            <w:rtl w:val="0"/>
          </w:rPr>
          <w:t xml:space="preserve">jonathanmkelly.com</w:t>
        </w:r>
      </w:hyperlink>
      <w:r w:rsidDel="00000000" w:rsidR="00000000" w:rsidRPr="00000000">
        <w:rPr>
          <w:rFonts w:ascii="Georgia" w:cs="Georgia" w:eastAsia="Georgia" w:hAnsi="Georgia"/>
          <w:b w:val="1"/>
          <w:bCs w:val="1"/>
          <w:color w:val="373d49"/>
          <w:sz w:val="21"/>
          <w:szCs w:val="21"/>
          <w:rtl w:val="0"/>
        </w:rPr>
        <w:t xml:space="preserve">. The colophon page (</w:t>
      </w:r>
      <w:hyperlink r:id="rId8">
        <w:r w:rsidDel="00000000" w:rsidR="00000000" w:rsidRPr="00000000">
          <w:rPr>
            <w:rFonts w:ascii="Georgia" w:cs="Georgia" w:eastAsia="Georgia" w:hAnsi="Georgia"/>
            <w:b w:val="1"/>
            <w:bCs w:val="1"/>
            <w:color w:val="a0aabf"/>
            <w:sz w:val="21"/>
            <w:szCs w:val="21"/>
            <w:u w:val="single"/>
            <w:rtl w:val="0"/>
          </w:rPr>
          <w:t xml:space="preserve">thebsideofeverything.com/colophon</w:t>
        </w:r>
      </w:hyperlink>
      <w:r w:rsidDel="00000000" w:rsidR="00000000" w:rsidRPr="00000000">
        <w:rPr>
          <w:rFonts w:ascii="Georgia" w:cs="Georgia" w:eastAsia="Georgia" w:hAnsi="Georgia"/>
          <w:b w:val="1"/>
          <w:bCs w:val="1"/>
          <w:color w:val="373d49"/>
          <w:sz w:val="21"/>
          <w:szCs w:val="21"/>
          <w:rtl w:val="0"/>
        </w:rPr>
        <w:t xml:space="preserve">) identifies him as the author. Nothing else on the site does. The creative frame is Skinsbury’s. The authorial credit lives outside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ebsideofeverything.com/" TargetMode="External"/><Relationship Id="rId7" Type="http://schemas.openxmlformats.org/officeDocument/2006/relationships/hyperlink" Target="http://jonathanmkelly.com/" TargetMode="External"/><Relationship Id="rId8" Type="http://schemas.openxmlformats.org/officeDocument/2006/relationships/hyperlink" Target="http://thebsideofeverything.com/colop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