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276" w:lineRule="auto"/>
        <w:rPr>
          <w:rFonts w:ascii="Times New Roman" w:cs="Times New Roman" w:eastAsia="Times New Roman" w:hAnsi="Times New Roman"/>
          <w:b w:val="1"/>
          <w:bCs w:val="1"/>
          <w:color w:val="242424"/>
          <w:sz w:val="24"/>
          <w:szCs w:val="24"/>
        </w:rPr>
      </w:pPr>
      <w:bookmarkStart w:colFirst="0" w:colLast="0" w:name="_510ijjbppcus" w:id="0"/>
      <w:bookmarkEnd w:id="0"/>
      <w:r w:rsidDel="00000000" w:rsidR="00000000" w:rsidRPr="00000000">
        <w:rPr>
          <w:rFonts w:ascii="Times New Roman" w:cs="Times New Roman" w:eastAsia="Times New Roman" w:hAnsi="Times New Roman"/>
          <w:b w:val="1"/>
          <w:bCs w:val="1"/>
          <w:color w:val="242424"/>
          <w:sz w:val="24"/>
          <w:szCs w:val="24"/>
          <w:rtl w:val="0"/>
        </w:rPr>
        <w:t xml:space="preserve">Ambient Anxiety: What Students Learn from AI Panic</w:t>
      </w:r>
    </w:p>
    <w:p w:rsidR="00000000" w:rsidDel="00000000" w:rsidP="00000000" w:rsidRDefault="00000000" w:rsidRPr="00000000" w14:paraId="00000002">
      <w:pPr>
        <w:shd w:fill="ffffff" w:val="clear"/>
        <w:spacing w:after="0" w:before="0" w:line="276" w:lineRule="auto"/>
        <w:rPr>
          <w:rFonts w:ascii="Times New Roman" w:cs="Times New Roman" w:eastAsia="Times New Roman" w:hAnsi="Times New Roman"/>
          <w:b w:val="1"/>
          <w:bCs w:val="1"/>
          <w:color w:val="242424"/>
          <w:sz w:val="24"/>
          <w:szCs w:val="24"/>
        </w:rPr>
      </w:pPr>
      <w:r w:rsidDel="00000000" w:rsidR="00000000" w:rsidRPr="00000000">
        <w:rPr>
          <w:rtl w:val="0"/>
        </w:rPr>
      </w:r>
    </w:p>
    <w:p w:rsidR="00000000" w:rsidDel="00000000" w:rsidP="00000000" w:rsidRDefault="00000000" w:rsidRPr="00000000" w14:paraId="00000003">
      <w:pPr>
        <w:shd w:fill="ffffff" w:val="clear"/>
        <w:spacing w:after="0" w:before="0" w:line="276"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How adult fear and misunderstanding of AI shapes student experience</w:t>
      </w:r>
    </w:p>
    <w:p w:rsidR="00000000" w:rsidDel="00000000" w:rsidP="00000000" w:rsidRDefault="00000000" w:rsidRPr="00000000" w14:paraId="00000004">
      <w:pPr>
        <w:shd w:fill="ffffff" w:val="clear"/>
        <w:spacing w:after="0" w:before="0" w:line="276"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adult/teacher/admin fear of AI, as encountered by students, rarely registers as reasoned critique or pedagogical care. It is received as a mood: an ambient signal that saturates the environment with anxiety, suspicion, and arbitrary control. When administrators block ChatGPT, when teachers sermonize about “</w:t>
      </w:r>
      <w:r w:rsidDel="00000000" w:rsidR="00000000" w:rsidRPr="00000000">
        <w:rPr>
          <w:rFonts w:ascii="Times New Roman" w:cs="Times New Roman" w:eastAsia="Times New Roman" w:hAnsi="Times New Roman"/>
          <w:b w:val="1"/>
          <w:bCs w:val="1"/>
          <w:color w:val="242424"/>
          <w:sz w:val="24"/>
          <w:szCs w:val="24"/>
          <w:rtl w:val="0"/>
        </w:rPr>
        <w:t xml:space="preserve">real thinking</w:t>
      </w:r>
      <w:r w:rsidDel="00000000" w:rsidR="00000000" w:rsidRPr="00000000">
        <w:rPr>
          <w:rFonts w:ascii="Times New Roman" w:cs="Times New Roman" w:eastAsia="Times New Roman" w:hAnsi="Times New Roman"/>
          <w:color w:val="242424"/>
          <w:sz w:val="24"/>
          <w:szCs w:val="24"/>
          <w:rtl w:val="0"/>
        </w:rPr>
        <w:t xml:space="preserve">” and decry cognitive offloading as a moral failing, students do not absorb an argument. They absorb affect: </w:t>
      </w:r>
      <w:r w:rsidDel="00000000" w:rsidR="00000000" w:rsidRPr="00000000">
        <w:rPr>
          <w:rFonts w:ascii="Times New Roman" w:cs="Times New Roman" w:eastAsia="Times New Roman" w:hAnsi="Times New Roman"/>
          <w:b w:val="1"/>
          <w:bCs w:val="1"/>
          <w:color w:val="242424"/>
          <w:sz w:val="24"/>
          <w:szCs w:val="24"/>
          <w:rtl w:val="0"/>
        </w:rPr>
        <w:t xml:space="preserve">distrust, restriction, a sense that the adults are fighting ghosts with rules.</w:t>
      </w:r>
    </w:p>
    <w:p w:rsidR="00000000" w:rsidDel="00000000" w:rsidP="00000000" w:rsidRDefault="00000000" w:rsidRPr="00000000" w14:paraId="00000005">
      <w:pPr>
        <w:spacing w:after="0" w:before="0" w:line="276" w:lineRule="auto"/>
        <w:ind w:left="0" w:firstLine="0"/>
        <w:rPr>
          <w:rFonts w:ascii="Times New Roman" w:cs="Times New Roman" w:eastAsia="Times New Roman" w:hAnsi="Times New Roman"/>
          <w:i w:val="1"/>
          <w:iCs w:val="1"/>
          <w:color w:val="242424"/>
          <w:sz w:val="24"/>
          <w:szCs w:val="24"/>
          <w:highlight w:val="white"/>
        </w:rPr>
      </w:pPr>
      <w:r w:rsidDel="00000000" w:rsidR="00000000" w:rsidRPr="00000000">
        <w:rPr>
          <w:rFonts w:ascii="Times New Roman" w:cs="Times New Roman" w:eastAsia="Times New Roman" w:hAnsi="Times New Roman"/>
          <w:i w:val="1"/>
          <w:iCs w:val="1"/>
          <w:color w:val="242424"/>
          <w:sz w:val="24"/>
          <w:szCs w:val="24"/>
          <w:highlight w:val="white"/>
          <w:rtl w:val="0"/>
        </w:rPr>
        <w:t xml:space="preserve">The message is clear, but the meaning is obscure. What students perceive is not intellectual engagement, but bureaucratic panic dressed up as virtue.</w:t>
      </w:r>
    </w:p>
    <w:p w:rsidR="00000000" w:rsidDel="00000000" w:rsidP="00000000" w:rsidRDefault="00000000" w:rsidRPr="00000000" w14:paraId="00000006">
      <w:pPr>
        <w:shd w:fill="ffffff" w:val="clear"/>
        <w:spacing w:after="0" w:before="0" w:line="276"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This mood is familiar. It mirrors what my piece on sarcasm, “</w:t>
      </w:r>
      <w:hyperlink r:id="rId6">
        <w:r w:rsidDel="00000000" w:rsidR="00000000" w:rsidRPr="00000000">
          <w:rPr>
            <w:rFonts w:ascii="Times New Roman" w:cs="Times New Roman" w:eastAsia="Times New Roman" w:hAnsi="Times New Roman"/>
            <w:color w:val="1155cc"/>
            <w:sz w:val="24"/>
            <w:szCs w:val="24"/>
            <w:u w:val="single"/>
            <w:rtl w:val="0"/>
          </w:rPr>
          <w:t xml:space="preserve">The Mood That Ate the Message</w:t>
        </w:r>
      </w:hyperlink>
      <w:r w:rsidDel="00000000" w:rsidR="00000000" w:rsidRPr="00000000">
        <w:rPr>
          <w:rFonts w:ascii="Times New Roman" w:cs="Times New Roman" w:eastAsia="Times New Roman" w:hAnsi="Times New Roman"/>
          <w:color w:val="242424"/>
          <w:sz w:val="24"/>
          <w:szCs w:val="24"/>
          <w:rtl w:val="0"/>
        </w:rPr>
        <w:t xml:space="preserve">,” describes: a cultural reflex of affective misdirection, where glib dismissals or anxious prohibitions replace substantive orientation. The surface tone (whether sarcastic, exasperated, or preemptively punitive) short-circuits any genuine encounter with the phenomenon itself. The adults seem less interested in understanding the tool than in policing its threat to their authority, their relevance, their vision of what thinking should look like.</w:t>
      </w:r>
    </w:p>
    <w:p w:rsidR="00000000" w:rsidDel="00000000" w:rsidP="00000000" w:rsidRDefault="00000000" w:rsidRPr="00000000" w14:paraId="00000007">
      <w:pPr>
        <w:spacing w:after="0" w:before="0" w:line="276"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Pr>
        <w:drawing>
          <wp:inline distB="114300" distT="114300" distL="114300" distR="114300">
            <wp:extent cx="5943600" cy="39624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0" w:before="0" w:line="276" w:lineRule="auto"/>
        <w:rPr>
          <w:rFonts w:ascii="Times New Roman" w:cs="Times New Roman" w:eastAsia="Times New Roman" w:hAnsi="Times New Roman"/>
          <w:color w:val="1155cc"/>
          <w:sz w:val="24"/>
          <w:szCs w:val="24"/>
          <w:highlight w:val="white"/>
          <w:u w:val="single"/>
        </w:rPr>
      </w:pPr>
      <w:r w:rsidDel="00000000" w:rsidR="00000000" w:rsidRPr="00000000">
        <w:rPr>
          <w:rFonts w:ascii="Times New Roman" w:cs="Times New Roman" w:eastAsia="Times New Roman" w:hAnsi="Times New Roman"/>
          <w:color w:val="6b6b6b"/>
          <w:sz w:val="24"/>
          <w:szCs w:val="24"/>
          <w:highlight w:val="white"/>
          <w:rtl w:val="0"/>
        </w:rPr>
        <w:t xml:space="preserve">Photo by</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 John</w:t>
        </w:r>
      </w:hyperlink>
      <w:r w:rsidDel="00000000" w:rsidR="00000000" w:rsidRPr="00000000">
        <w:rPr>
          <w:rFonts w:ascii="Times New Roman" w:cs="Times New Roman" w:eastAsia="Times New Roman" w:hAnsi="Times New Roman"/>
          <w:color w:val="6b6b6b"/>
          <w:sz w:val="24"/>
          <w:szCs w:val="24"/>
          <w:highlight w:val="white"/>
          <w:rtl w:val="0"/>
        </w:rPr>
        <w:t xml:space="preserve"> on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Unsplash</w:t>
        </w:r>
      </w:hyperlink>
      <w:r w:rsidDel="00000000" w:rsidR="00000000" w:rsidRPr="00000000">
        <w:rPr>
          <w:rtl w:val="0"/>
        </w:rPr>
      </w:r>
    </w:p>
    <w:p w:rsidR="00000000" w:rsidDel="00000000" w:rsidP="00000000" w:rsidRDefault="00000000" w:rsidRPr="00000000" w14:paraId="00000009">
      <w:pPr>
        <w:shd w:fill="ffffff" w:val="clear"/>
        <w:spacing w:after="0" w:before="0" w:line="276"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Students, attuned to the gap between stated rationale and actual practice, receive this fear as a set of shifting, often incoherent rules.</w:t>
      </w:r>
    </w:p>
    <w:p w:rsidR="00000000" w:rsidDel="00000000" w:rsidP="00000000" w:rsidRDefault="00000000" w:rsidRPr="00000000" w14:paraId="0000000A">
      <w:pPr>
        <w:spacing w:after="0" w:before="0" w:line="276" w:lineRule="auto"/>
        <w:ind w:left="0" w:firstLine="0"/>
        <w:rPr>
          <w:rFonts w:ascii="Times New Roman" w:cs="Times New Roman" w:eastAsia="Times New Roman" w:hAnsi="Times New Roman"/>
          <w:i w:val="1"/>
          <w:iCs w:val="1"/>
          <w:color w:val="242424"/>
          <w:sz w:val="24"/>
          <w:szCs w:val="24"/>
          <w:highlight w:val="white"/>
        </w:rPr>
      </w:pPr>
      <w:r w:rsidDel="00000000" w:rsidR="00000000" w:rsidRPr="00000000">
        <w:rPr>
          <w:rFonts w:ascii="Times New Roman" w:cs="Times New Roman" w:eastAsia="Times New Roman" w:hAnsi="Times New Roman"/>
          <w:i w:val="1"/>
          <w:iCs w:val="1"/>
          <w:color w:val="242424"/>
          <w:sz w:val="24"/>
          <w:szCs w:val="24"/>
          <w:highlight w:val="white"/>
          <w:rtl w:val="0"/>
        </w:rPr>
        <w:t xml:space="preserve">“AI is banned, unless it’s not, unless we catch you, unless you disclose, unless we decide you used it wrong.”</w:t>
      </w:r>
    </w:p>
    <w:p w:rsidR="00000000" w:rsidDel="00000000" w:rsidP="00000000" w:rsidRDefault="00000000" w:rsidRPr="00000000" w14:paraId="0000000B">
      <w:pPr>
        <w:shd w:fill="ffffff" w:val="clear"/>
        <w:spacing w:after="0" w:before="0" w:line="276"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practical consequence is not reflection, but tactical evasion. Students learn not to engage deeply with AI, but to game the system, to mask or reframe their use so as not to trigger adult suspicion. Fear, in this context, does not cultivate discernment. It cultivates subterfuge, a cat-and-mouse game that hollows out any shared sense of purpose.</w:t>
      </w:r>
    </w:p>
    <w:p w:rsidR="00000000" w:rsidDel="00000000" w:rsidP="00000000" w:rsidRDefault="00000000" w:rsidRPr="00000000" w14:paraId="0000000C">
      <w:pPr>
        <w:shd w:fill="ffffff" w:val="clear"/>
        <w:spacing w:after="0" w:before="0" w:line="276"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affective register matters here. The panic over AI’s effects does not read to students as principled concern for intellectual integrity. It reads as </w:t>
      </w:r>
      <w:r w:rsidDel="00000000" w:rsidR="00000000" w:rsidRPr="00000000">
        <w:rPr>
          <w:rFonts w:ascii="Times New Roman" w:cs="Times New Roman" w:eastAsia="Times New Roman" w:hAnsi="Times New Roman"/>
          <w:b w:val="1"/>
          <w:bCs w:val="1"/>
          <w:color w:val="242424"/>
          <w:sz w:val="24"/>
          <w:szCs w:val="24"/>
          <w:rtl w:val="0"/>
        </w:rPr>
        <w:t xml:space="preserve">generational anxiety</w:t>
      </w:r>
      <w:r w:rsidDel="00000000" w:rsidR="00000000" w:rsidRPr="00000000">
        <w:rPr>
          <w:rFonts w:ascii="Times New Roman" w:cs="Times New Roman" w:eastAsia="Times New Roman" w:hAnsi="Times New Roman"/>
          <w:color w:val="242424"/>
          <w:sz w:val="24"/>
          <w:szCs w:val="24"/>
          <w:rtl w:val="0"/>
        </w:rPr>
        <w:t xml:space="preserve">: the latest iteration of calculator panic, Google panic, Wikipedia panic, each repeating the same cycle of prohibition, concession, and belated integration. The mood is one of institutional self-defense, not curiosity. The tone is familiar because it is always the same:</w:t>
      </w:r>
    </w:p>
    <w:p w:rsidR="00000000" w:rsidDel="00000000" w:rsidP="00000000" w:rsidRDefault="00000000" w:rsidRPr="00000000" w14:paraId="0000000D">
      <w:pPr>
        <w:spacing w:after="0" w:before="0" w:line="276" w:lineRule="auto"/>
        <w:ind w:left="0" w:firstLine="0"/>
        <w:rPr>
          <w:rFonts w:ascii="Times New Roman" w:cs="Times New Roman" w:eastAsia="Times New Roman" w:hAnsi="Times New Roman"/>
          <w:i w:val="1"/>
          <w:iCs w:val="1"/>
          <w:color w:val="242424"/>
          <w:sz w:val="24"/>
          <w:szCs w:val="24"/>
          <w:highlight w:val="white"/>
        </w:rPr>
      </w:pPr>
      <w:r w:rsidDel="00000000" w:rsidR="00000000" w:rsidRPr="00000000">
        <w:rPr>
          <w:rFonts w:ascii="Times New Roman" w:cs="Times New Roman" w:eastAsia="Times New Roman" w:hAnsi="Times New Roman"/>
          <w:i w:val="1"/>
          <w:iCs w:val="1"/>
          <w:color w:val="242424"/>
          <w:sz w:val="24"/>
          <w:szCs w:val="24"/>
          <w:highlight w:val="white"/>
          <w:rtl w:val="0"/>
        </w:rPr>
        <w:t xml:space="preserve">“Don’t use the tool, it will ruin you.” “Use the tool, but only this way, and only if you acknowledge its dangers.”</w:t>
      </w:r>
    </w:p>
    <w:p w:rsidR="00000000" w:rsidDel="00000000" w:rsidP="00000000" w:rsidRDefault="00000000" w:rsidRPr="00000000" w14:paraId="0000000E">
      <w:pPr>
        <w:shd w:fill="ffffff" w:val="clear"/>
        <w:spacing w:after="0" w:before="0" w:line="276"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result is a kind of affective white noise: students tune out the content and register only the shape of the alarm.</w:t>
      </w:r>
    </w:p>
    <w:p w:rsidR="00000000" w:rsidDel="00000000" w:rsidP="00000000" w:rsidRDefault="00000000" w:rsidRPr="00000000" w14:paraId="0000000F">
      <w:pPr>
        <w:shd w:fill="ffffff" w:val="clear"/>
        <w:spacing w:after="0" w:before="0" w:line="276"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i w:val="1"/>
          <w:iCs w:val="1"/>
          <w:color w:val="242424"/>
          <w:sz w:val="24"/>
          <w:szCs w:val="24"/>
          <w:rtl w:val="0"/>
        </w:rPr>
        <w:t xml:space="preserve">What do students do with this? </w:t>
      </w:r>
      <w:r w:rsidDel="00000000" w:rsidR="00000000" w:rsidRPr="00000000">
        <w:rPr>
          <w:rFonts w:ascii="Times New Roman" w:cs="Times New Roman" w:eastAsia="Times New Roman" w:hAnsi="Times New Roman"/>
          <w:color w:val="242424"/>
          <w:sz w:val="24"/>
          <w:szCs w:val="24"/>
          <w:rtl w:val="0"/>
        </w:rPr>
        <w:t xml:space="preserve">Most comply outwardly, inwardly recognizing the adults have lost the thread. Some lean into the subterfuge, some disengage entirely, some quietly build their own literacies, learning from the tools in ways the institution refuses to model. In every case, what lands is not the message but the mood. The fear is ambient, administrative, and ultimately unpersuasive. Students move on. The institution remains stuck in its own echo chamber, convinced it is “saving” something essential, but unable to articulate what, or for whom.</w:t>
      </w:r>
    </w:p>
    <w:p w:rsidR="00000000" w:rsidDel="00000000" w:rsidP="00000000" w:rsidRDefault="00000000" w:rsidRPr="00000000" w14:paraId="00000010">
      <w:pPr>
        <w:shd w:fill="ffffff" w:val="clear"/>
        <w:spacing w:after="0" w:before="0" w:line="276"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challenge, then, is not just to critique the panic, but to name its cost.</w:t>
      </w:r>
      <w:hyperlink r:id="rId10">
        <w:r w:rsidDel="00000000" w:rsidR="00000000" w:rsidRPr="00000000">
          <w:rPr>
            <w:rFonts w:ascii="Times New Roman" w:cs="Times New Roman" w:eastAsia="Times New Roman" w:hAnsi="Times New Roman"/>
            <w:color w:val="1155cc"/>
            <w:sz w:val="24"/>
            <w:szCs w:val="24"/>
            <w:u w:val="single"/>
            <w:rtl w:val="0"/>
          </w:rPr>
          <w:t xml:space="preserve"> Fear is Not a Framework</w:t>
        </w:r>
      </w:hyperlink>
      <w:r w:rsidDel="00000000" w:rsidR="00000000" w:rsidRPr="00000000">
        <w:rPr>
          <w:rFonts w:ascii="Times New Roman" w:cs="Times New Roman" w:eastAsia="Times New Roman" w:hAnsi="Times New Roman"/>
          <w:color w:val="242424"/>
          <w:sz w:val="24"/>
          <w:szCs w:val="24"/>
          <w:rtl w:val="0"/>
        </w:rPr>
        <w:t xml:space="preserve">. The affective climate set by adult anxieties does not foster stronger minds, only more evasive students. The only thing it reliably produces is what it most fears: a generation of learners adept at bypassing obsolete authority, unmoved by institutional moods, and convinced (perhaps correctly)that the real work of learning must take place elsewhere.</w:t>
      </w:r>
    </w:p>
    <w:p w:rsidR="00000000" w:rsidDel="00000000" w:rsidP="00000000" w:rsidRDefault="00000000" w:rsidRPr="00000000" w14:paraId="00000011">
      <w:pPr>
        <w:spacing w:after="0" w:before="0" w:line="276"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medium.com/agency-artifact/fear-is-not-a-framework-4f48084401ee" TargetMode="External"/><Relationship Id="rId9" Type="http://schemas.openxmlformats.org/officeDocument/2006/relationships/hyperlink" Target="https://unsplash.com/?utm_source=medium&amp;utm_medium=referral" TargetMode="External"/><Relationship Id="rId5" Type="http://schemas.openxmlformats.org/officeDocument/2006/relationships/styles" Target="styles.xml"/><Relationship Id="rId6" Type="http://schemas.openxmlformats.org/officeDocument/2006/relationships/hyperlink" Target="https://medium.com/agency-artifact/the-mood-that-ate-the-message-a9018785fbf1" TargetMode="External"/><Relationship Id="rId7" Type="http://schemas.openxmlformats.org/officeDocument/2006/relationships/image" Target="media/image1.jpg"/><Relationship Id="rId8" Type="http://schemas.openxmlformats.org/officeDocument/2006/relationships/hyperlink" Target="https://unsplash.com/@johnishappysometimes?utm_source=medium&amp;utm_medium=referr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