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80B25" w14:textId="77777777" w:rsidR="007E5B09" w:rsidRDefault="00000000">
      <w:pPr>
        <w:spacing w:after="314" w:line="259" w:lineRule="auto"/>
        <w:ind w:left="0" w:firstLine="0"/>
        <w:jc w:val="left"/>
      </w:pPr>
      <w:r>
        <w:rPr>
          <w:sz w:val="22"/>
        </w:rPr>
        <w:t xml:space="preserve"> </w:t>
      </w:r>
    </w:p>
    <w:p w14:paraId="397073B7" w14:textId="77777777" w:rsidR="007E5B09" w:rsidRDefault="00000000">
      <w:pPr>
        <w:spacing w:after="0" w:line="259" w:lineRule="auto"/>
        <w:ind w:left="108" w:right="153" w:firstLine="0"/>
        <w:jc w:val="center"/>
      </w:pPr>
      <w:r>
        <w:rPr>
          <w:noProof/>
        </w:rPr>
        <w:drawing>
          <wp:anchor distT="0" distB="0" distL="114300" distR="114300" simplePos="0" relativeHeight="251658240" behindDoc="0" locked="0" layoutInCell="1" allowOverlap="0" wp14:anchorId="30FFCDF0" wp14:editId="608C35A5">
            <wp:simplePos x="0" y="0"/>
            <wp:positionH relativeFrom="column">
              <wp:posOffset>4215079</wp:posOffset>
            </wp:positionH>
            <wp:positionV relativeFrom="paragraph">
              <wp:posOffset>-192404</wp:posOffset>
            </wp:positionV>
            <wp:extent cx="1089660" cy="571500"/>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a:stretch>
                      <a:fillRect/>
                    </a:stretch>
                  </pic:blipFill>
                  <pic:spPr>
                    <a:xfrm>
                      <a:off x="0" y="0"/>
                      <a:ext cx="1089660" cy="571500"/>
                    </a:xfrm>
                    <a:prstGeom prst="rect">
                      <a:avLst/>
                    </a:prstGeom>
                  </pic:spPr>
                </pic:pic>
              </a:graphicData>
            </a:graphic>
          </wp:anchor>
        </w:drawing>
      </w:r>
      <w:r>
        <w:rPr>
          <w:noProof/>
        </w:rPr>
        <w:drawing>
          <wp:anchor distT="0" distB="0" distL="114300" distR="114300" simplePos="0" relativeHeight="251659264" behindDoc="0" locked="0" layoutInCell="1" allowOverlap="0" wp14:anchorId="7DF2E363" wp14:editId="6A0A551B">
            <wp:simplePos x="0" y="0"/>
            <wp:positionH relativeFrom="column">
              <wp:posOffset>68275</wp:posOffset>
            </wp:positionH>
            <wp:positionV relativeFrom="paragraph">
              <wp:posOffset>-192404</wp:posOffset>
            </wp:positionV>
            <wp:extent cx="1129284" cy="656844"/>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stretch>
                      <a:fillRect/>
                    </a:stretch>
                  </pic:blipFill>
                  <pic:spPr>
                    <a:xfrm>
                      <a:off x="0" y="0"/>
                      <a:ext cx="1129284" cy="656844"/>
                    </a:xfrm>
                    <a:prstGeom prst="rect">
                      <a:avLst/>
                    </a:prstGeom>
                  </pic:spPr>
                </pic:pic>
              </a:graphicData>
            </a:graphic>
          </wp:anchor>
        </w:drawing>
      </w:r>
      <w:r>
        <w:rPr>
          <w:color w:val="2E74B5"/>
          <w:sz w:val="32"/>
        </w:rPr>
        <w:t xml:space="preserve">Taller de trabajos prácticos #6 </w:t>
      </w:r>
    </w:p>
    <w:p w14:paraId="2A141530" w14:textId="77777777" w:rsidR="007E5B09" w:rsidRDefault="00000000">
      <w:pPr>
        <w:spacing w:after="0" w:line="259" w:lineRule="auto"/>
        <w:ind w:left="108" w:right="101" w:firstLine="0"/>
        <w:jc w:val="right"/>
      </w:pPr>
      <w:r>
        <w:rPr>
          <w:sz w:val="22"/>
        </w:rPr>
        <w:t xml:space="preserve">  </w:t>
      </w:r>
    </w:p>
    <w:p w14:paraId="5F7DA6E1" w14:textId="77777777" w:rsidR="007E5B09" w:rsidRDefault="00000000">
      <w:pPr>
        <w:spacing w:after="0" w:line="259" w:lineRule="auto"/>
        <w:ind w:left="108" w:right="153" w:firstLine="0"/>
        <w:jc w:val="left"/>
      </w:pPr>
      <w:r>
        <w:rPr>
          <w:sz w:val="22"/>
        </w:rPr>
        <w:t xml:space="preserve"> </w:t>
      </w:r>
    </w:p>
    <w:p w14:paraId="7277FAC6" w14:textId="77777777" w:rsidR="007E5B09" w:rsidRDefault="00000000">
      <w:pPr>
        <w:spacing w:after="59" w:line="259" w:lineRule="auto"/>
        <w:ind w:left="0" w:firstLine="0"/>
        <w:jc w:val="left"/>
      </w:pPr>
      <w:r>
        <w:rPr>
          <w:sz w:val="22"/>
        </w:rPr>
        <w:t xml:space="preserve"> </w:t>
      </w:r>
    </w:p>
    <w:p w14:paraId="7FDC737D" w14:textId="77777777" w:rsidR="007E5B09" w:rsidRDefault="00000000">
      <w:pPr>
        <w:spacing w:after="0" w:line="259" w:lineRule="auto"/>
        <w:ind w:left="0" w:right="9" w:firstLine="0"/>
        <w:jc w:val="center"/>
      </w:pPr>
      <w:r>
        <w:rPr>
          <w:color w:val="2E74B5"/>
          <w:sz w:val="26"/>
        </w:rPr>
        <w:t xml:space="preserve">Calidad en Ingeniería de Software </w:t>
      </w:r>
    </w:p>
    <w:p w14:paraId="47478276" w14:textId="77777777" w:rsidR="007E5B09" w:rsidRDefault="00000000">
      <w:pPr>
        <w:spacing w:after="52" w:line="259" w:lineRule="auto"/>
        <w:ind w:left="720" w:firstLine="0"/>
        <w:jc w:val="left"/>
      </w:pPr>
      <w:r>
        <w:t xml:space="preserve"> </w:t>
      </w:r>
    </w:p>
    <w:p w14:paraId="1D64D30B" w14:textId="36DD3E9A" w:rsidR="007E5B09" w:rsidRDefault="00000000">
      <w:pPr>
        <w:numPr>
          <w:ilvl w:val="0"/>
          <w:numId w:val="1"/>
        </w:numPr>
        <w:ind w:hanging="360"/>
      </w:pPr>
      <w:r>
        <w:t>Lea el tutorial “</w:t>
      </w:r>
      <w:r>
        <w:rPr>
          <w:i/>
        </w:rPr>
        <w:t>Kanban para uso genérico</w:t>
      </w:r>
      <w:r>
        <w:t xml:space="preserve">” del Ing. A. Ruiz de Mendarozqueta, explique en sus palabras el significado del parámetro TEP de esa metodología y cuál es el significado crítico en su utilización. </w:t>
      </w:r>
    </w:p>
    <w:p w14:paraId="0A5893C6" w14:textId="30326748" w:rsidR="00E77EF3" w:rsidRDefault="00E77EF3" w:rsidP="00E77EF3">
      <w:pPr>
        <w:ind w:left="705" w:firstLine="0"/>
        <w:rPr>
          <w:lang w:val="en-001"/>
        </w:rPr>
      </w:pPr>
      <w:r>
        <w:rPr>
          <w:lang w:val="en-001"/>
        </w:rPr>
        <w:t>El TEP es una metodologia la cual nos permite establecer la cantidad de tareas que se estan trabajando, las cules, estas de pasar de</w:t>
      </w:r>
      <w:r w:rsidR="0007012D">
        <w:rPr>
          <w:lang w:val="en-001"/>
        </w:rPr>
        <w:t>l estado</w:t>
      </w:r>
      <w:r>
        <w:rPr>
          <w:lang w:val="en-001"/>
        </w:rPr>
        <w:t xml:space="preserve"> ‘para hacer’ a </w:t>
      </w:r>
      <w:r w:rsidR="0007012D">
        <w:rPr>
          <w:lang w:val="en-001"/>
        </w:rPr>
        <w:t xml:space="preserve">el estado </w:t>
      </w:r>
      <w:r>
        <w:rPr>
          <w:lang w:val="en-001"/>
        </w:rPr>
        <w:t>‘trabajando’</w:t>
      </w:r>
      <w:r w:rsidR="0007012D">
        <w:rPr>
          <w:lang w:val="en-001"/>
        </w:rPr>
        <w:t>, de ahi, si el TEP esta lleno, no se puede volver a agregar mas tareas a la seccion de ‘trabajando’</w:t>
      </w:r>
      <w:r w:rsidR="00073F54">
        <w:rPr>
          <w:lang w:val="en-001"/>
        </w:rPr>
        <w:t xml:space="preserve"> hasta que se libere un poco</w:t>
      </w:r>
    </w:p>
    <w:p w14:paraId="37FF622E" w14:textId="77777777" w:rsidR="00E77EF3" w:rsidRPr="00E77EF3" w:rsidRDefault="00E77EF3" w:rsidP="00E77EF3">
      <w:pPr>
        <w:ind w:left="705" w:firstLine="0"/>
        <w:rPr>
          <w:lang w:val="en-001"/>
        </w:rPr>
      </w:pPr>
    </w:p>
    <w:p w14:paraId="40010F3C" w14:textId="77777777" w:rsidR="007E5B09" w:rsidRDefault="00000000">
      <w:pPr>
        <w:numPr>
          <w:ilvl w:val="0"/>
          <w:numId w:val="1"/>
        </w:numPr>
        <w:spacing w:after="0"/>
        <w:ind w:hanging="360"/>
      </w:pPr>
      <w:r>
        <w:t>Utilice la lectura del artículo adjunto “</w:t>
      </w:r>
      <w:r>
        <w:rPr>
          <w:i/>
        </w:rPr>
        <w:t>A software release criteria</w:t>
      </w:r>
      <w:r>
        <w:t xml:space="preserve">” sobre los posibles criterios para evaluar la proyección en los defectos aplicando un modelo de regresión aproximado como el allí mencionado. A continuación, utilice un modelo similar para estimar el número total de defectos a esperar en un aplicativo a partir de los siguientes datos obtenidos en los primeros días de test. </w:t>
      </w:r>
    </w:p>
    <w:tbl>
      <w:tblPr>
        <w:tblStyle w:val="TableGrid"/>
        <w:tblW w:w="1920" w:type="dxa"/>
        <w:tblInd w:w="3291" w:type="dxa"/>
        <w:tblCellMar>
          <w:top w:w="77" w:type="dxa"/>
          <w:left w:w="79" w:type="dxa"/>
          <w:bottom w:w="0" w:type="dxa"/>
          <w:right w:w="17" w:type="dxa"/>
        </w:tblCellMar>
        <w:tblLook w:val="04A0" w:firstRow="1" w:lastRow="0" w:firstColumn="1" w:lastColumn="0" w:noHBand="0" w:noVBand="1"/>
      </w:tblPr>
      <w:tblGrid>
        <w:gridCol w:w="960"/>
        <w:gridCol w:w="960"/>
      </w:tblGrid>
      <w:tr w:rsidR="007E5B09" w14:paraId="78057DE8" w14:textId="77777777">
        <w:trPr>
          <w:trHeight w:val="312"/>
        </w:trPr>
        <w:tc>
          <w:tcPr>
            <w:tcW w:w="960" w:type="dxa"/>
            <w:tcBorders>
              <w:top w:val="single" w:sz="4" w:space="0" w:color="000000"/>
              <w:left w:val="single" w:sz="4" w:space="0" w:color="000000"/>
              <w:bottom w:val="single" w:sz="4" w:space="0" w:color="000000"/>
              <w:right w:val="single" w:sz="4" w:space="0" w:color="000000"/>
            </w:tcBorders>
          </w:tcPr>
          <w:p w14:paraId="03B23A28" w14:textId="77777777" w:rsidR="007E5B09" w:rsidRDefault="00000000">
            <w:pPr>
              <w:spacing w:after="0" w:line="259" w:lineRule="auto"/>
              <w:ind w:left="0" w:right="57" w:firstLine="0"/>
              <w:jc w:val="center"/>
            </w:pPr>
            <w:r>
              <w:rPr>
                <w:b/>
                <w:sz w:val="22"/>
              </w:rPr>
              <w:t xml:space="preserve">Dia </w:t>
            </w:r>
          </w:p>
        </w:tc>
        <w:tc>
          <w:tcPr>
            <w:tcW w:w="960" w:type="dxa"/>
            <w:tcBorders>
              <w:top w:val="single" w:sz="4" w:space="0" w:color="000000"/>
              <w:left w:val="single" w:sz="4" w:space="0" w:color="000000"/>
              <w:bottom w:val="single" w:sz="4" w:space="0" w:color="000000"/>
              <w:right w:val="single" w:sz="4" w:space="0" w:color="000000"/>
            </w:tcBorders>
          </w:tcPr>
          <w:p w14:paraId="676DBD56" w14:textId="77777777" w:rsidR="007E5B09" w:rsidRDefault="00000000">
            <w:pPr>
              <w:spacing w:after="0" w:line="259" w:lineRule="auto"/>
              <w:ind w:left="0" w:firstLine="0"/>
            </w:pPr>
            <w:r>
              <w:rPr>
                <w:b/>
                <w:sz w:val="22"/>
              </w:rPr>
              <w:t xml:space="preserve">Defectos </w:t>
            </w:r>
          </w:p>
        </w:tc>
      </w:tr>
      <w:tr w:rsidR="007E5B09" w14:paraId="1E23427E" w14:textId="77777777">
        <w:trPr>
          <w:trHeight w:val="310"/>
        </w:trPr>
        <w:tc>
          <w:tcPr>
            <w:tcW w:w="960" w:type="dxa"/>
            <w:tcBorders>
              <w:top w:val="single" w:sz="4" w:space="0" w:color="000000"/>
              <w:left w:val="single" w:sz="4" w:space="0" w:color="000000"/>
              <w:bottom w:val="single" w:sz="4" w:space="0" w:color="000000"/>
              <w:right w:val="single" w:sz="4" w:space="0" w:color="000000"/>
            </w:tcBorders>
          </w:tcPr>
          <w:p w14:paraId="05BC1C2E" w14:textId="77777777" w:rsidR="007E5B09" w:rsidRDefault="00000000">
            <w:pPr>
              <w:spacing w:after="0" w:line="259" w:lineRule="auto"/>
              <w:ind w:left="0" w:right="56" w:firstLine="0"/>
              <w:jc w:val="center"/>
            </w:pPr>
            <w:r>
              <w:rPr>
                <w:sz w:val="22"/>
              </w:rPr>
              <w:t xml:space="preserve">0 </w:t>
            </w:r>
          </w:p>
        </w:tc>
        <w:tc>
          <w:tcPr>
            <w:tcW w:w="960" w:type="dxa"/>
            <w:tcBorders>
              <w:top w:val="single" w:sz="4" w:space="0" w:color="000000"/>
              <w:left w:val="single" w:sz="4" w:space="0" w:color="000000"/>
              <w:bottom w:val="single" w:sz="4" w:space="0" w:color="000000"/>
              <w:right w:val="single" w:sz="4" w:space="0" w:color="000000"/>
            </w:tcBorders>
          </w:tcPr>
          <w:p w14:paraId="1C91BD98" w14:textId="77777777" w:rsidR="007E5B09" w:rsidRDefault="00000000">
            <w:pPr>
              <w:spacing w:after="0" w:line="259" w:lineRule="auto"/>
              <w:ind w:left="0" w:right="48" w:firstLine="0"/>
              <w:jc w:val="right"/>
            </w:pPr>
            <w:r>
              <w:rPr>
                <w:sz w:val="22"/>
              </w:rPr>
              <w:t xml:space="preserve">9 </w:t>
            </w:r>
          </w:p>
        </w:tc>
      </w:tr>
      <w:tr w:rsidR="007E5B09" w14:paraId="6FFAC169" w14:textId="77777777">
        <w:trPr>
          <w:trHeight w:val="310"/>
        </w:trPr>
        <w:tc>
          <w:tcPr>
            <w:tcW w:w="960" w:type="dxa"/>
            <w:tcBorders>
              <w:top w:val="single" w:sz="4" w:space="0" w:color="000000"/>
              <w:left w:val="single" w:sz="4" w:space="0" w:color="000000"/>
              <w:bottom w:val="single" w:sz="4" w:space="0" w:color="000000"/>
              <w:right w:val="single" w:sz="4" w:space="0" w:color="000000"/>
            </w:tcBorders>
          </w:tcPr>
          <w:p w14:paraId="49BAA02F" w14:textId="77777777" w:rsidR="007E5B09" w:rsidRDefault="00000000">
            <w:pPr>
              <w:spacing w:after="0" w:line="259" w:lineRule="auto"/>
              <w:ind w:left="0" w:right="56" w:firstLine="0"/>
              <w:jc w:val="center"/>
            </w:pPr>
            <w:r>
              <w:rPr>
                <w:sz w:val="22"/>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179FFEB2" w14:textId="77777777" w:rsidR="007E5B09" w:rsidRDefault="00000000">
            <w:pPr>
              <w:spacing w:after="0" w:line="259" w:lineRule="auto"/>
              <w:ind w:left="0" w:right="48" w:firstLine="0"/>
              <w:jc w:val="right"/>
            </w:pPr>
            <w:r>
              <w:rPr>
                <w:sz w:val="22"/>
              </w:rPr>
              <w:t xml:space="preserve">18 </w:t>
            </w:r>
          </w:p>
        </w:tc>
      </w:tr>
      <w:tr w:rsidR="007E5B09" w14:paraId="281263DB" w14:textId="77777777">
        <w:trPr>
          <w:trHeight w:val="310"/>
        </w:trPr>
        <w:tc>
          <w:tcPr>
            <w:tcW w:w="960" w:type="dxa"/>
            <w:tcBorders>
              <w:top w:val="single" w:sz="4" w:space="0" w:color="000000"/>
              <w:left w:val="single" w:sz="4" w:space="0" w:color="000000"/>
              <w:bottom w:val="single" w:sz="4" w:space="0" w:color="000000"/>
              <w:right w:val="single" w:sz="4" w:space="0" w:color="000000"/>
            </w:tcBorders>
          </w:tcPr>
          <w:p w14:paraId="01DAD5AE" w14:textId="77777777" w:rsidR="007E5B09" w:rsidRDefault="00000000">
            <w:pPr>
              <w:spacing w:after="0" w:line="259" w:lineRule="auto"/>
              <w:ind w:left="0" w:right="56" w:firstLine="0"/>
              <w:jc w:val="center"/>
            </w:pPr>
            <w:r>
              <w:rPr>
                <w:sz w:val="22"/>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4344237E" w14:textId="77777777" w:rsidR="007E5B09" w:rsidRDefault="00000000">
            <w:pPr>
              <w:spacing w:after="0" w:line="259" w:lineRule="auto"/>
              <w:ind w:left="0" w:right="48" w:firstLine="0"/>
              <w:jc w:val="right"/>
            </w:pPr>
            <w:r>
              <w:rPr>
                <w:sz w:val="22"/>
              </w:rPr>
              <w:t xml:space="preserve">5 </w:t>
            </w:r>
          </w:p>
        </w:tc>
      </w:tr>
      <w:tr w:rsidR="007E5B09" w14:paraId="10326529" w14:textId="77777777">
        <w:trPr>
          <w:trHeight w:val="310"/>
        </w:trPr>
        <w:tc>
          <w:tcPr>
            <w:tcW w:w="960" w:type="dxa"/>
            <w:tcBorders>
              <w:top w:val="single" w:sz="4" w:space="0" w:color="000000"/>
              <w:left w:val="single" w:sz="4" w:space="0" w:color="000000"/>
              <w:bottom w:val="single" w:sz="4" w:space="0" w:color="000000"/>
              <w:right w:val="single" w:sz="4" w:space="0" w:color="000000"/>
            </w:tcBorders>
          </w:tcPr>
          <w:p w14:paraId="648D932F" w14:textId="77777777" w:rsidR="007E5B09" w:rsidRDefault="00000000">
            <w:pPr>
              <w:spacing w:after="0" w:line="259" w:lineRule="auto"/>
              <w:ind w:left="0" w:right="56" w:firstLine="0"/>
              <w:jc w:val="center"/>
            </w:pPr>
            <w:r>
              <w:rPr>
                <w:sz w:val="22"/>
              </w:rPr>
              <w:t xml:space="preserve">3 </w:t>
            </w:r>
          </w:p>
        </w:tc>
        <w:tc>
          <w:tcPr>
            <w:tcW w:w="960" w:type="dxa"/>
            <w:tcBorders>
              <w:top w:val="single" w:sz="4" w:space="0" w:color="000000"/>
              <w:left w:val="single" w:sz="4" w:space="0" w:color="000000"/>
              <w:bottom w:val="single" w:sz="4" w:space="0" w:color="000000"/>
              <w:right w:val="single" w:sz="4" w:space="0" w:color="000000"/>
            </w:tcBorders>
          </w:tcPr>
          <w:p w14:paraId="26546EFB" w14:textId="77777777" w:rsidR="007E5B09" w:rsidRDefault="00000000">
            <w:pPr>
              <w:spacing w:after="0" w:line="259" w:lineRule="auto"/>
              <w:ind w:left="0" w:right="48" w:firstLine="0"/>
              <w:jc w:val="right"/>
            </w:pPr>
            <w:r>
              <w:rPr>
                <w:sz w:val="22"/>
              </w:rPr>
              <w:t xml:space="preserve">7 </w:t>
            </w:r>
          </w:p>
        </w:tc>
      </w:tr>
      <w:tr w:rsidR="007E5B09" w14:paraId="55FB276D" w14:textId="77777777">
        <w:trPr>
          <w:trHeight w:val="310"/>
        </w:trPr>
        <w:tc>
          <w:tcPr>
            <w:tcW w:w="960" w:type="dxa"/>
            <w:tcBorders>
              <w:top w:val="single" w:sz="4" w:space="0" w:color="000000"/>
              <w:left w:val="single" w:sz="4" w:space="0" w:color="000000"/>
              <w:bottom w:val="single" w:sz="4" w:space="0" w:color="000000"/>
              <w:right w:val="single" w:sz="4" w:space="0" w:color="000000"/>
            </w:tcBorders>
          </w:tcPr>
          <w:p w14:paraId="785F7E6D" w14:textId="77777777" w:rsidR="007E5B09" w:rsidRDefault="00000000">
            <w:pPr>
              <w:spacing w:after="0" w:line="259" w:lineRule="auto"/>
              <w:ind w:left="0" w:right="56" w:firstLine="0"/>
              <w:jc w:val="center"/>
            </w:pPr>
            <w:r>
              <w:rPr>
                <w:sz w:val="22"/>
              </w:rPr>
              <w:t xml:space="preserve">4 </w:t>
            </w:r>
          </w:p>
        </w:tc>
        <w:tc>
          <w:tcPr>
            <w:tcW w:w="960" w:type="dxa"/>
            <w:tcBorders>
              <w:top w:val="single" w:sz="4" w:space="0" w:color="000000"/>
              <w:left w:val="single" w:sz="4" w:space="0" w:color="000000"/>
              <w:bottom w:val="single" w:sz="4" w:space="0" w:color="000000"/>
              <w:right w:val="single" w:sz="4" w:space="0" w:color="000000"/>
            </w:tcBorders>
          </w:tcPr>
          <w:p w14:paraId="02822612" w14:textId="77777777" w:rsidR="007E5B09" w:rsidRDefault="00000000">
            <w:pPr>
              <w:spacing w:after="0" w:line="259" w:lineRule="auto"/>
              <w:ind w:left="0" w:right="48" w:firstLine="0"/>
              <w:jc w:val="right"/>
            </w:pPr>
            <w:r>
              <w:rPr>
                <w:sz w:val="22"/>
              </w:rPr>
              <w:t xml:space="preserve">23 </w:t>
            </w:r>
          </w:p>
        </w:tc>
      </w:tr>
      <w:tr w:rsidR="007E5B09" w14:paraId="2D6235E9" w14:textId="77777777">
        <w:trPr>
          <w:trHeight w:val="312"/>
        </w:trPr>
        <w:tc>
          <w:tcPr>
            <w:tcW w:w="960" w:type="dxa"/>
            <w:tcBorders>
              <w:top w:val="single" w:sz="4" w:space="0" w:color="000000"/>
              <w:left w:val="single" w:sz="4" w:space="0" w:color="000000"/>
              <w:bottom w:val="single" w:sz="4" w:space="0" w:color="000000"/>
              <w:right w:val="single" w:sz="4" w:space="0" w:color="000000"/>
            </w:tcBorders>
          </w:tcPr>
          <w:p w14:paraId="1F2464DB" w14:textId="77777777" w:rsidR="007E5B09" w:rsidRDefault="00000000">
            <w:pPr>
              <w:spacing w:after="0" w:line="259" w:lineRule="auto"/>
              <w:ind w:left="0" w:right="56" w:firstLine="0"/>
              <w:jc w:val="center"/>
            </w:pPr>
            <w:r>
              <w:rPr>
                <w:sz w:val="22"/>
              </w:rPr>
              <w:t xml:space="preserve">5 </w:t>
            </w:r>
          </w:p>
        </w:tc>
        <w:tc>
          <w:tcPr>
            <w:tcW w:w="960" w:type="dxa"/>
            <w:tcBorders>
              <w:top w:val="single" w:sz="4" w:space="0" w:color="000000"/>
              <w:left w:val="single" w:sz="4" w:space="0" w:color="000000"/>
              <w:bottom w:val="single" w:sz="4" w:space="0" w:color="000000"/>
              <w:right w:val="single" w:sz="4" w:space="0" w:color="000000"/>
            </w:tcBorders>
          </w:tcPr>
          <w:p w14:paraId="523DF163" w14:textId="77777777" w:rsidR="007E5B09" w:rsidRDefault="00000000">
            <w:pPr>
              <w:spacing w:after="0" w:line="259" w:lineRule="auto"/>
              <w:ind w:left="0" w:right="48" w:firstLine="0"/>
              <w:jc w:val="right"/>
            </w:pPr>
            <w:r>
              <w:rPr>
                <w:sz w:val="22"/>
              </w:rPr>
              <w:t xml:space="preserve">2 </w:t>
            </w:r>
          </w:p>
        </w:tc>
      </w:tr>
      <w:tr w:rsidR="007E5B09" w14:paraId="0EF688F9" w14:textId="77777777">
        <w:trPr>
          <w:trHeight w:val="310"/>
        </w:trPr>
        <w:tc>
          <w:tcPr>
            <w:tcW w:w="960" w:type="dxa"/>
            <w:tcBorders>
              <w:top w:val="single" w:sz="4" w:space="0" w:color="000000"/>
              <w:left w:val="single" w:sz="4" w:space="0" w:color="000000"/>
              <w:bottom w:val="single" w:sz="4" w:space="0" w:color="000000"/>
              <w:right w:val="single" w:sz="4" w:space="0" w:color="000000"/>
            </w:tcBorders>
          </w:tcPr>
          <w:p w14:paraId="2BBB0868" w14:textId="77777777" w:rsidR="007E5B09" w:rsidRDefault="00000000">
            <w:pPr>
              <w:spacing w:after="0" w:line="259" w:lineRule="auto"/>
              <w:ind w:left="0" w:right="56" w:firstLine="0"/>
              <w:jc w:val="center"/>
            </w:pPr>
            <w:r>
              <w:rPr>
                <w:sz w:val="22"/>
              </w:rPr>
              <w:t xml:space="preserve">6 </w:t>
            </w:r>
          </w:p>
        </w:tc>
        <w:tc>
          <w:tcPr>
            <w:tcW w:w="960" w:type="dxa"/>
            <w:tcBorders>
              <w:top w:val="single" w:sz="4" w:space="0" w:color="000000"/>
              <w:left w:val="single" w:sz="4" w:space="0" w:color="000000"/>
              <w:bottom w:val="single" w:sz="4" w:space="0" w:color="000000"/>
              <w:right w:val="single" w:sz="4" w:space="0" w:color="000000"/>
            </w:tcBorders>
          </w:tcPr>
          <w:p w14:paraId="413E52AD" w14:textId="77777777" w:rsidR="007E5B09" w:rsidRDefault="00000000">
            <w:pPr>
              <w:spacing w:after="0" w:line="259" w:lineRule="auto"/>
              <w:ind w:left="0" w:right="48" w:firstLine="0"/>
              <w:jc w:val="right"/>
            </w:pPr>
            <w:r>
              <w:rPr>
                <w:sz w:val="22"/>
              </w:rPr>
              <w:t xml:space="preserve">8 </w:t>
            </w:r>
          </w:p>
        </w:tc>
      </w:tr>
    </w:tbl>
    <w:p w14:paraId="22F16EEF" w14:textId="77777777" w:rsidR="007E5B09" w:rsidRDefault="00000000">
      <w:pPr>
        <w:numPr>
          <w:ilvl w:val="0"/>
          <w:numId w:val="1"/>
        </w:numPr>
        <w:ind w:hanging="360"/>
      </w:pPr>
      <w:r>
        <w:t xml:space="preserve">Lea el artículo adjunto “Marco para evaluar garantía en desarrollo de software” y a continuación explique cuál será el comportamiento cualitativo de incrementar el PCE de un proceso de calidad de software en el tiempo total de test óptimo para poder otorgar garantía a ese software. </w:t>
      </w:r>
    </w:p>
    <w:p w14:paraId="23397C53" w14:textId="77777777" w:rsidR="007E5B09" w:rsidRDefault="00000000">
      <w:pPr>
        <w:numPr>
          <w:ilvl w:val="0"/>
          <w:numId w:val="1"/>
        </w:numPr>
        <w:ind w:hanging="360"/>
      </w:pPr>
      <w:r>
        <w:t xml:space="preserve">Una organización ha establecido una línea de base organizacional sobre su performance de calidad que le permite confiar en entregar sus proyectos con un PCE=89% y defectos al momento del release (δr) de 0.12 def/FP. Se acaba de finalizar la construcción de un proyecto cuyo tamaño (S) es de 100 FP.  </w:t>
      </w:r>
    </w:p>
    <w:p w14:paraId="6F634A26" w14:textId="77777777" w:rsidR="007E5B09" w:rsidRDefault="00000000">
      <w:pPr>
        <w:numPr>
          <w:ilvl w:val="1"/>
          <w:numId w:val="1"/>
        </w:numPr>
        <w:ind w:hanging="360"/>
      </w:pPr>
      <w:r>
        <w:t xml:space="preserve">¿Cuál es la expectativa de defectos totales (µ0) para ese proyecto? </w:t>
      </w:r>
    </w:p>
    <w:p w14:paraId="4F209761" w14:textId="77777777" w:rsidR="007E5B09" w:rsidRDefault="00000000">
      <w:pPr>
        <w:numPr>
          <w:ilvl w:val="1"/>
          <w:numId w:val="1"/>
        </w:numPr>
        <w:ind w:hanging="360"/>
      </w:pPr>
      <w:r>
        <w:t>¿Qué densidad de defectos deberá esperarse al momento de finalizar la construcción (δ</w:t>
      </w:r>
      <w:r>
        <w:rPr>
          <w:vertAlign w:val="subscript"/>
        </w:rPr>
        <w:t>0</w:t>
      </w:r>
      <w:r>
        <w:t xml:space="preserve">)? </w:t>
      </w:r>
    </w:p>
    <w:p w14:paraId="305C3C94" w14:textId="77777777" w:rsidR="007E5B09" w:rsidRDefault="00000000">
      <w:pPr>
        <w:numPr>
          <w:ilvl w:val="1"/>
          <w:numId w:val="1"/>
        </w:numPr>
        <w:ind w:hanging="360"/>
      </w:pPr>
      <w:r>
        <w:lastRenderedPageBreak/>
        <w:t xml:space="preserve">¿Cuantos defectos debería planear detectar durante el período de V&amp;V para ese proyecto? </w:t>
      </w:r>
    </w:p>
    <w:p w14:paraId="5D8CD986" w14:textId="77777777" w:rsidR="007E5B09" w:rsidRDefault="00000000">
      <w:pPr>
        <w:numPr>
          <w:ilvl w:val="1"/>
          <w:numId w:val="1"/>
        </w:numPr>
        <w:ind w:hanging="360"/>
      </w:pPr>
      <w:r>
        <w:t xml:space="preserve">Si esa misma organización detecta en sus primeros tres días de V&amp;V 20 defectos cada día (60 defectos en total). Fundamente una opinión sobre ¿Cuál cree que será el comportamiento del total de defectos respecto a lo esperable en función de los parámetros históricos?. </w:t>
      </w:r>
    </w:p>
    <w:p w14:paraId="7F81C8C3" w14:textId="77777777" w:rsidR="007E5B09" w:rsidRDefault="00000000">
      <w:pPr>
        <w:numPr>
          <w:ilvl w:val="0"/>
          <w:numId w:val="1"/>
        </w:numPr>
        <w:ind w:hanging="360"/>
      </w:pPr>
      <w:r>
        <w:t>En la presentación “</w:t>
      </w:r>
      <w:r>
        <w:rPr>
          <w:i/>
        </w:rPr>
        <w:t>Agile and software engineering , an invisible bond</w:t>
      </w:r>
      <w:r>
        <w:t xml:space="preserve">” resumen del artículo del mismo nombre se hace referencia  la importancia de la deuda técnica como factor de deterioro en la performance de valor de un proyecto, indique de acuerdo al artículo que factores gestionados desde el proceso de calidad mejoran la gestión de deuda técnica y porque producen esa mejora.  </w:t>
      </w:r>
    </w:p>
    <w:sectPr w:rsidR="007E5B09">
      <w:pgSz w:w="11906" w:h="16838"/>
      <w:pgMar w:top="1440" w:right="1697"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A69A5"/>
    <w:multiLevelType w:val="hybridMultilevel"/>
    <w:tmpl w:val="418C0936"/>
    <w:lvl w:ilvl="0" w:tplc="9A46D50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7E54F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42065E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DA2553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1AE518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8A1DD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92716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38063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7E9D5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585456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B09"/>
    <w:rsid w:val="0007012D"/>
    <w:rsid w:val="00073F54"/>
    <w:rsid w:val="007E5B09"/>
    <w:rsid w:val="00BA17C7"/>
    <w:rsid w:val="00E77E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9AEB"/>
  <w15:docId w15:val="{887B1501-9694-4846-B848-7EA3817C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62" w:lineRule="auto"/>
      <w:ind w:left="730" w:hanging="370"/>
      <w:jc w:val="both"/>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391</Words>
  <Characters>2154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Pedro E. Colla</dc:creator>
  <cp:keywords/>
  <cp:lastModifiedBy>543446507537</cp:lastModifiedBy>
  <cp:revision>3</cp:revision>
  <dcterms:created xsi:type="dcterms:W3CDTF">2022-10-21T23:34:00Z</dcterms:created>
  <dcterms:modified xsi:type="dcterms:W3CDTF">2022-10-21T23:34:00Z</dcterms:modified>
</cp:coreProperties>
</file>