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3" w:name="content"/>
    <w:bookmarkStart w:id="72" w:name="X886a1ccd061da5d8a0a82bb53752fe8e18228fc"/>
    <w:p>
      <w:pPr>
        <w:pStyle w:val="Heading1"/>
      </w:pPr>
      <w:r>
        <w:t xml:space="preserve">Insurance Agent Balanced Scorecard Systems in Malaysia and Singapore</w:t>
      </w:r>
    </w:p>
    <w:bookmarkStart w:id="21" w:name="introduction"/>
    <w:p>
      <w:pPr>
        <w:pStyle w:val="Heading2"/>
      </w:pPr>
      <w:r>
        <w:t xml:space="preserve">Introduction</w:t>
      </w:r>
    </w:p>
    <w:p>
      <w:pPr>
        <w:pStyle w:val="FirstParagraph"/>
      </w:pPr>
      <w:r>
        <w:t xml:space="preserve">Both Malaysia and Singapore have implemented</w:t>
      </w:r>
      <w:r>
        <w:t xml:space="preserve"> </w:t>
      </w:r>
      <w:r>
        <w:rPr>
          <w:b/>
          <w:bCs/>
        </w:rPr>
        <w:t xml:space="preserve">Balanced Scorecard (BSC) frameworks</w:t>
      </w:r>
      <w:r>
        <w:t xml:space="preserve"> </w:t>
      </w:r>
      <w:r>
        <w:t xml:space="preserve">for life insurance intermediaries as a regulatory tool to improve sales conduct and customer outcomes. These frameworks were introduced by Bank Negara Malaysia (BNM) and the Monetary Authority of Singapore (MAS) to shift agent incentives away from pure sales volume towards quality of advice and ethical practices. The Balanced Scorecard systems use</w:t>
      </w:r>
      <w:r>
        <w:t xml:space="preserve"> </w:t>
      </w:r>
      <w:r>
        <w:rPr>
          <w:b/>
          <w:bCs/>
        </w:rPr>
        <w:t xml:space="preserve">non-sales key performance indicators (KPIs)</w:t>
      </w:r>
      <w:r>
        <w:t xml:space="preserve"> </w:t>
      </w:r>
      <w:r>
        <w:t xml:space="preserve">– such as compliance with advisory processes, customer satisfaction, policy persistency, and professionalism – to determine a portion of an agent’s remuneration. This report provides a comparative analysis of the BSC frameworks in Malaysia and Singapore, covering their regulatory background, recent updates, performance metrics, impact on agent practices, and the data analytics agents focus on to manage their performance.</w:t>
      </w:r>
    </w:p>
    <w:bookmarkEnd w:id="21"/>
    <w:bookmarkStart w:id="33" w:name="Xae461e27444643bc974b1d8be2fefce144aec17"/>
    <w:p>
      <w:pPr>
        <w:pStyle w:val="Heading2"/>
      </w:pPr>
      <w:r>
        <w:t xml:space="preserve">Regulatory Background and Intent of the Balanced Scorecard</w:t>
      </w:r>
    </w:p>
    <w:p>
      <w:pPr>
        <w:pStyle w:val="FirstParagraph"/>
      </w:pPr>
      <w:r>
        <w:rPr>
          <w:b/>
          <w:bCs/>
        </w:rPr>
        <w:t xml:space="preserve">Malaysia (BNM):</w:t>
      </w:r>
      <w:r>
        <w:t xml:space="preserve"> </w:t>
      </w:r>
      <w:r>
        <w:t xml:space="preserve">In November 2015, BNM issued the</w:t>
      </w:r>
      <w:r>
        <w:t xml:space="preserve"> </w:t>
      </w:r>
      <w:r>
        <w:rPr>
          <w:i/>
          <w:iCs/>
        </w:rPr>
        <w:t xml:space="preserve">Life Insurance and Family Takaful Framework</w:t>
      </w:r>
      <w:r>
        <w:t xml:space="preserve"> </w:t>
      </w:r>
      <w:r>
        <w:t xml:space="preserve">(“LIFE Framework”), which mandated that life insurance companies implement a Balanced Scorecard for intermediaries effective January 1, 2018</w:t>
      </w:r>
      <w:hyperlink r:id="rId22">
        <w:r>
          <w:rPr>
            <w:rStyle w:val="Hyperlink"/>
          </w:rPr>
          <w:t xml:space="preserve">[1]</w:t>
        </w:r>
      </w:hyperlink>
      <w:r>
        <w:t xml:space="preserve">. The regulatory intent was to raise professionalism and encourage customer-centric behavior in the industry. BNM explicitly aimed to</w:t>
      </w:r>
      <w:r>
        <w:t xml:space="preserve"> </w:t>
      </w:r>
      <w:r>
        <w:rPr>
          <w:b/>
          <w:bCs/>
        </w:rPr>
        <w:t xml:space="preserve">promote four key outcomes</w:t>
      </w:r>
      <w:r>
        <w:t xml:space="preserve"> </w:t>
      </w:r>
      <w:r>
        <w:t xml:space="preserve">in intermediaries’ practices:</w:t>
      </w:r>
      <w:r>
        <w:t xml:space="preserve"> </w:t>
      </w:r>
      <w:r>
        <w:rPr>
          <w:b/>
          <w:bCs/>
        </w:rPr>
        <w:t xml:space="preserve">(1)</w:t>
      </w:r>
      <w:r>
        <w:t xml:space="preserve"> </w:t>
      </w:r>
      <w:r>
        <w:t xml:space="preserve">providing suitable advice and recommendations based on each consumer’s financial needs,</w:t>
      </w:r>
      <w:r>
        <w:t xml:space="preserve"> </w:t>
      </w:r>
      <w:r>
        <w:rPr>
          <w:b/>
          <w:bCs/>
        </w:rPr>
        <w:t xml:space="preserve">(2)</w:t>
      </w:r>
      <w:r>
        <w:t xml:space="preserve"> </w:t>
      </w:r>
      <w:r>
        <w:t xml:space="preserve">ensuring continuous policy servicing and customer support throughout the policy term,</w:t>
      </w:r>
      <w:r>
        <w:t xml:space="preserve"> </w:t>
      </w:r>
      <w:r>
        <w:rPr>
          <w:b/>
          <w:bCs/>
        </w:rPr>
        <w:t xml:space="preserve">(3)</w:t>
      </w:r>
      <w:r>
        <w:t xml:space="preserve"> </w:t>
      </w:r>
      <w:r>
        <w:t xml:space="preserve">fostering continuous professional development of agents, and</w:t>
      </w:r>
      <w:r>
        <w:t xml:space="preserve"> </w:t>
      </w:r>
      <w:r>
        <w:rPr>
          <w:b/>
          <w:bCs/>
        </w:rPr>
        <w:t xml:space="preserve">(4)</w:t>
      </w:r>
      <w:r>
        <w:t xml:space="preserve"> </w:t>
      </w:r>
      <w:r>
        <w:t xml:space="preserve">upholding high ethical and professional conduct in the sale of insurance</w:t>
      </w:r>
      <w:hyperlink r:id="rId23">
        <w:r>
          <w:rPr>
            <w:rStyle w:val="Hyperlink"/>
          </w:rPr>
          <w:t xml:space="preserve">[2]</w:t>
        </w:r>
      </w:hyperlink>
      <w:hyperlink r:id="rId24">
        <w:r>
          <w:rPr>
            <w:rStyle w:val="Hyperlink"/>
          </w:rPr>
          <w:t xml:space="preserve">[3]</w:t>
        </w:r>
      </w:hyperlink>
      <w:r>
        <w:t xml:space="preserve">. To achieve these outcomes, the BSC framework ties part of agents’ compensation to non-sales performance criteria, thereby addressing product bias and reducing mis-selling incentives</w:t>
      </w:r>
      <w:hyperlink r:id="rId25">
        <w:r>
          <w:rPr>
            <w:rStyle w:val="Hyperlink"/>
          </w:rPr>
          <w:t xml:space="preserve">[4]</w:t>
        </w:r>
      </w:hyperlink>
      <w:r>
        <w:t xml:space="preserve">. A pilot “mock run” of the BSC was conducted in 2016 to allow agents to adjust before full implementation</w:t>
      </w:r>
      <w:hyperlink r:id="rId26">
        <w:r>
          <w:rPr>
            <w:rStyle w:val="Hyperlink"/>
          </w:rPr>
          <w:t xml:space="preserve">[5]</w:t>
        </w:r>
      </w:hyperlink>
      <w:r>
        <w:t xml:space="preserve">. From 2018 onward, all life insurers and takaful operators in Malaysia have been required to incorporate the BSC into their remuneration policies for agents, financial advisers, and brokers</w:t>
      </w:r>
      <w:hyperlink r:id="rId27">
        <w:r>
          <w:rPr>
            <w:rStyle w:val="Hyperlink"/>
          </w:rPr>
          <w:t xml:space="preserve">[6]</w:t>
        </w:r>
      </w:hyperlink>
      <w:r>
        <w:t xml:space="preserve">.</w:t>
      </w:r>
    </w:p>
    <w:p>
      <w:pPr>
        <w:pStyle w:val="BodyText"/>
      </w:pPr>
      <w:r>
        <w:rPr>
          <w:b/>
          <w:bCs/>
        </w:rPr>
        <w:t xml:space="preserve">Singapore (MAS):</w:t>
      </w:r>
      <w:r>
        <w:t xml:space="preserve"> </w:t>
      </w:r>
      <w:r>
        <w:t xml:space="preserve">Singapore’s BSC framework emerged from the Financial Advisory Industry Review (FAIR) in 2012–2013, which recommended measures to raise standards in the financial advisory sector</w:t>
      </w:r>
      <w:hyperlink r:id="rId28">
        <w:r>
          <w:rPr>
            <w:rStyle w:val="Hyperlink"/>
          </w:rPr>
          <w:t xml:space="preserve">[7]</w:t>
        </w:r>
      </w:hyperlink>
      <w:r>
        <w:t xml:space="preserve">. MAS introduced the Balanced Scorecard Framework in 2016 as part of its “Fair Dealing” initiative to ensure representatives act in customers’ best interests</w:t>
      </w:r>
      <w:hyperlink r:id="rId29">
        <w:r>
          <w:rPr>
            <w:rStyle w:val="Hyperlink"/>
          </w:rPr>
          <w:t xml:space="preserve">[8]</w:t>
        </w:r>
      </w:hyperlink>
      <w:r>
        <w:t xml:space="preserve">. The BSC is mandated under the Financial Advisers Act for all financial advisory firms and insurance companies that employ representatives selling investment or insurance products. Regulators sought to counteract purely commission-driven sales by linking variable remuneration to</w:t>
      </w:r>
      <w:r>
        <w:t xml:space="preserve"> </w:t>
      </w:r>
      <w:r>
        <w:rPr>
          <w:b/>
          <w:bCs/>
        </w:rPr>
        <w:t xml:space="preserve">quality of advice and compliance</w:t>
      </w:r>
      <w:r>
        <w:t xml:space="preserve">. MAS Deputy Managing Director Ho Hern Shin explained that the remuneration requirements (including the BSC and related commission controls)</w:t>
      </w:r>
      <w:r>
        <w:t xml:space="preserve"> </w:t>
      </w:r>
      <w:r>
        <w:rPr>
          <w:i/>
          <w:iCs/>
        </w:rPr>
        <w:t xml:space="preserve">“aim to promote good sales conduct in the financial advisory industry”</w:t>
      </w:r>
      <w:r>
        <w:t xml:space="preserve"> </w:t>
      </w:r>
      <w:r>
        <w:t xml:space="preserve">and to uphold</w:t>
      </w:r>
      <w:r>
        <w:t xml:space="preserve"> </w:t>
      </w:r>
      <w:r>
        <w:rPr>
          <w:b/>
          <w:bCs/>
        </w:rPr>
        <w:t xml:space="preserve">high ethical standards</w:t>
      </w:r>
      <w:r>
        <w:t xml:space="preserve">, ensuring representatives put customers’ interests first</w:t>
      </w:r>
      <w:hyperlink r:id="rId30">
        <w:r>
          <w:rPr>
            <w:rStyle w:val="Hyperlink"/>
          </w:rPr>
          <w:t xml:space="preserve">[9]</w:t>
        </w:r>
      </w:hyperlink>
      <w:r>
        <w:t xml:space="preserve">. In practice, MAS’ rules require firms to implement an</w:t>
      </w:r>
      <w:r>
        <w:t xml:space="preserve"> </w:t>
      </w:r>
      <w:r>
        <w:rPr>
          <w:b/>
          <w:bCs/>
        </w:rPr>
        <w:t xml:space="preserve">Independent Sales Audit Unit (ISA)</w:t>
      </w:r>
      <w:r>
        <w:t xml:space="preserve"> </w:t>
      </w:r>
      <w:r>
        <w:t xml:space="preserve">that conducts post-transaction reviews and audits of sales, feeding into the BSC evaluations</w:t>
      </w:r>
      <w:hyperlink r:id="rId31">
        <w:r>
          <w:rPr>
            <w:rStyle w:val="Hyperlink"/>
          </w:rPr>
          <w:t xml:space="preserve">[10]</w:t>
        </w:r>
      </w:hyperlink>
      <w:r>
        <w:t xml:space="preserve">. This was complemented by other measures like commission caps/spreading for life policies, all intended to encourage fair advice over aggressive selling</w:t>
      </w:r>
      <w:hyperlink r:id="rId32">
        <w:r>
          <w:rPr>
            <w:rStyle w:val="Hyperlink"/>
          </w:rPr>
          <w:t xml:space="preserve">[11]</w:t>
        </w:r>
      </w:hyperlink>
      <w:r>
        <w:t xml:space="preserve">.</w:t>
      </w:r>
    </w:p>
    <w:bookmarkEnd w:id="33"/>
    <w:bookmarkStart w:id="42" w:name="recent-policy-updates-last-5-years"/>
    <w:p>
      <w:pPr>
        <w:pStyle w:val="Heading2"/>
      </w:pPr>
      <w:r>
        <w:t xml:space="preserve">Recent Policy Updates (Last 5 Years)</w:t>
      </w:r>
    </w:p>
    <w:p>
      <w:pPr>
        <w:pStyle w:val="FirstParagraph"/>
      </w:pPr>
      <w:r>
        <w:rPr>
          <w:b/>
          <w:bCs/>
        </w:rPr>
        <w:t xml:space="preserve">Malaysia:</w:t>
      </w:r>
      <w:r>
        <w:t xml:space="preserve"> </w:t>
      </w:r>
      <w:r>
        <w:t xml:space="preserve">The BSC framework in Malaysia was formally codified in BNM’s</w:t>
      </w:r>
      <w:r>
        <w:t xml:space="preserve"> </w:t>
      </w:r>
      <w:r>
        <w:rPr>
          <w:i/>
          <w:iCs/>
        </w:rPr>
        <w:t xml:space="preserve">Policy Document on Operating Cost Controls for Life Insurance and Family Takaful Business</w:t>
      </w:r>
      <w:r>
        <w:t xml:space="preserve">, issued in late 2019</w:t>
      </w:r>
      <w:hyperlink r:id="rId34">
        <w:r>
          <w:rPr>
            <w:rStyle w:val="Hyperlink"/>
          </w:rPr>
          <w:t xml:space="preserve">[12]</w:t>
        </w:r>
      </w:hyperlink>
      <w:r>
        <w:t xml:space="preserve">. This document set out the BSC parameters and marked the transition from pilot to full enforcement. Over the past five years, BNM’s focus has been on refining implementation rather than overhauling the framework. For instance, BNM has integrated BSC requirements into broader conduct standards for intermediaries; a 2025 policy update on insurance brokers requires brokers to adopt a BSC-based remuneration policy and to report annually to BNM on their staff’s BSC performance</w:t>
      </w:r>
      <w:hyperlink r:id="rId35">
        <w:r>
          <w:rPr>
            <w:rStyle w:val="Hyperlink"/>
          </w:rPr>
          <w:t xml:space="preserve">[13]</w:t>
        </w:r>
      </w:hyperlink>
      <w:r>
        <w:t xml:space="preserve">. The core BSC metrics and 25% commission-at-risk structure (detailed below) have remained consistent since 2018</w:t>
      </w:r>
      <w:hyperlink r:id="rId36">
        <w:r>
          <w:rPr>
            <w:rStyle w:val="Hyperlink"/>
          </w:rPr>
          <w:t xml:space="preserve">[14]</w:t>
        </w:r>
      </w:hyperlink>
      <w:r>
        <w:t xml:space="preserve">, though insurers were allowed from 2020 onward to set additional KPIs or higher benchmarks beyond the minimum regulatory standards</w:t>
      </w:r>
      <w:hyperlink r:id="rId37">
        <w:r>
          <w:rPr>
            <w:rStyle w:val="Hyperlink"/>
          </w:rPr>
          <w:t xml:space="preserve">[15]</w:t>
        </w:r>
      </w:hyperlink>
      <w:r>
        <w:t xml:space="preserve">. There have been no major revisions to the BSC KPIs themselves in the last five years, but BNM and the Life Insurance Association of Malaysia (LIAM) continue to monitor the framework’s effectiveness in improving agent behavior.</w:t>
      </w:r>
    </w:p>
    <w:p>
      <w:pPr>
        <w:pStyle w:val="BodyText"/>
      </w:pPr>
      <w:r>
        <w:rPr>
          <w:b/>
          <w:bCs/>
        </w:rPr>
        <w:t xml:space="preserve">Singapore:</w:t>
      </w:r>
      <w:r>
        <w:t xml:space="preserve"> </w:t>
      </w:r>
      <w:r>
        <w:t xml:space="preserve">MAS has periodically reviewed its Balanced Scorecard regime to address gaps and evolving needs. Notably, on 28 March 2025 MAS issued</w:t>
      </w:r>
      <w:r>
        <w:t xml:space="preserve"> </w:t>
      </w:r>
      <w:r>
        <w:rPr>
          <w:b/>
          <w:bCs/>
        </w:rPr>
        <w:t xml:space="preserve">revised Notice FAA-N20</w:t>
      </w:r>
      <w:r>
        <w:t xml:space="preserve"> </w:t>
      </w:r>
      <w:r>
        <w:t xml:space="preserve">(the BSC remuneration framework) and updated the associated Guidelines (FAA-G14)</w:t>
      </w:r>
      <w:hyperlink r:id="rId38">
        <w:r>
          <w:rPr>
            <w:rStyle w:val="Hyperlink"/>
          </w:rPr>
          <w:t xml:space="preserve">[16]</w:t>
        </w:r>
      </w:hyperlink>
      <w:r>
        <w:t xml:space="preserve">. These revisions, taking effect 29 December 2025, came after a 2024 consultation to enhance safeguards for retail investors. While the fundamental 4 KPI structure of the BSC remains, the updates clarify and expand requirements around</w:t>
      </w:r>
      <w:r>
        <w:t xml:space="preserve"> </w:t>
      </w:r>
      <w:r>
        <w:rPr>
          <w:b/>
          <w:bCs/>
        </w:rPr>
        <w:t xml:space="preserve">pre- and post-transaction checks</w:t>
      </w:r>
      <w:r>
        <w:t xml:space="preserve"> </w:t>
      </w:r>
      <w:r>
        <w:t xml:space="preserve">by the independent audit unit. For example, MAS is tightening how post-sale customer surveys or call-backs feed into the BSC grading, especially for vulnerable clients</w:t>
      </w:r>
      <w:hyperlink r:id="rId39">
        <w:r>
          <w:rPr>
            <w:rStyle w:val="Hyperlink"/>
          </w:rPr>
          <w:t xml:space="preserve">[17]</w:t>
        </w:r>
      </w:hyperlink>
      <w:r>
        <w:t xml:space="preserve">. MAS agreed that if robust pre-sale call-backs by an independent party are done (covering key questions), a separate post-sale survey may be deemed completed</w:t>
      </w:r>
      <w:hyperlink r:id="rId40">
        <w:r>
          <w:rPr>
            <w:rStyle w:val="Hyperlink"/>
          </w:rPr>
          <w:t xml:space="preserve">[18]</w:t>
        </w:r>
      </w:hyperlink>
      <w:r>
        <w:t xml:space="preserve">. The scope of the ISA unit’s sample checks was also refined</w:t>
      </w:r>
      <w:hyperlink r:id="rId39">
        <w:r>
          <w:rPr>
            <w:rStyle w:val="Hyperlink"/>
          </w:rPr>
          <w:t xml:space="preserve">[19]</w:t>
        </w:r>
      </w:hyperlink>
      <w:r>
        <w:t xml:space="preserve">. Apart from these enhancements, the core framework (quarterly grading of reps on non-sales KPIs affecting their variable pay) has been in force since 2016. MAS continues to enforce the BSC strictly – for instance, in 2021 and 2025 it took action against certain advisory firms for failures to correctly implement BSC remuneration and supervision, underscoring that compliance lapses have real consequences</w:t>
      </w:r>
      <w:hyperlink r:id="rId32">
        <w:r>
          <w:rPr>
            <w:rStyle w:val="Hyperlink"/>
          </w:rPr>
          <w:t xml:space="preserve">[11]</w:t>
        </w:r>
      </w:hyperlink>
      <w:hyperlink r:id="rId41">
        <w:r>
          <w:rPr>
            <w:rStyle w:val="Hyperlink"/>
          </w:rPr>
          <w:t xml:space="preserve">[20]</w:t>
        </w:r>
      </w:hyperlink>
      <w:r>
        <w:t xml:space="preserve">.</w:t>
      </w:r>
    </w:p>
    <w:bookmarkEnd w:id="42"/>
    <w:bookmarkStart w:id="60" w:name="Xae8d96772721caa192323836688a65283b51483"/>
    <w:p>
      <w:pPr>
        <w:pStyle w:val="Heading2"/>
      </w:pPr>
      <w:r>
        <w:t xml:space="preserve">Key Performance and Conduct Metrics Tracked</w:t>
      </w:r>
    </w:p>
    <w:p>
      <w:pPr>
        <w:pStyle w:val="FirstParagraph"/>
      </w:pPr>
      <w:r>
        <w:t xml:space="preserve">Both countries’ Balanced Scorecards center on</w:t>
      </w:r>
      <w:r>
        <w:t xml:space="preserve"> </w:t>
      </w:r>
      <w:r>
        <w:rPr>
          <w:b/>
          <w:bCs/>
        </w:rPr>
        <w:t xml:space="preserve">performance and conduct metrics</w:t>
      </w:r>
      <w:r>
        <w:t xml:space="preserve"> </w:t>
      </w:r>
      <w:r>
        <w:t xml:space="preserve">rather than pure sales figures, though the specific KPIs differ slightly in focus. Below we outline the metrics each regulator requires firms to track and evaluate for every insurance agent or financial adviser:</w:t>
      </w:r>
    </w:p>
    <w:bookmarkStart w:id="49" w:name="malaysia-bsc-metrics-under-bnm"/>
    <w:p>
      <w:pPr>
        <w:pStyle w:val="Heading3"/>
      </w:pPr>
      <w:r>
        <w:t xml:space="preserve">Malaysia – BSC Metrics under BNM</w:t>
      </w:r>
    </w:p>
    <w:p>
      <w:pPr>
        <w:pStyle w:val="FirstParagraph"/>
      </w:pPr>
      <w:r>
        <w:t xml:space="preserve">BNM’s Balanced Scorecard prescribes a set of</w:t>
      </w:r>
      <w:r>
        <w:t xml:space="preserve"> </w:t>
      </w:r>
      <w:r>
        <w:rPr>
          <w:b/>
          <w:bCs/>
        </w:rPr>
        <w:t xml:space="preserve">non-sales KPIs</w:t>
      </w:r>
      <w:r>
        <w:t xml:space="preserve"> </w:t>
      </w:r>
      <w:r>
        <w:t xml:space="preserve">that each life insurer or takaful operator must include when assessing intermediaries</w:t>
      </w:r>
      <w:hyperlink r:id="rId43">
        <w:r>
          <w:rPr>
            <w:rStyle w:val="Hyperlink"/>
          </w:rPr>
          <w:t xml:space="preserve">[21]</w:t>
        </w:r>
      </w:hyperlink>
      <w:r>
        <w:t xml:space="preserve">. The mandatory metrics (as initially defined under the LIFE Framework) include:</w:t>
      </w:r>
    </w:p>
    <w:p>
      <w:pPr>
        <w:numPr>
          <w:ilvl w:val="0"/>
          <w:numId w:val="1001"/>
        </w:numPr>
      </w:pPr>
      <w:r>
        <w:rPr>
          <w:b/>
          <w:bCs/>
        </w:rPr>
        <w:t xml:space="preserve">Completion of Customer Fact-Find</w:t>
      </w:r>
      <w:r>
        <w:t xml:space="preserve"> </w:t>
      </w:r>
      <w:r>
        <w:t xml:space="preserve">– Measures whether the agent has thoroughly completed the customer fact-find or needs-analysis documentation for each sale. This ensures agents gather and consider a client’s financial needs and circumstances before recommending a product</w:t>
      </w:r>
      <w:hyperlink r:id="rId44">
        <w:r>
          <w:rPr>
            <w:rStyle w:val="Hyperlink"/>
          </w:rPr>
          <w:t xml:space="preserve">[22]</w:t>
        </w:r>
      </w:hyperlink>
      <w:hyperlink r:id="rId43">
        <w:r>
          <w:rPr>
            <w:rStyle w:val="Hyperlink"/>
          </w:rPr>
          <w:t xml:space="preserve">[21]</w:t>
        </w:r>
      </w:hyperlink>
      <w:r>
        <w:t xml:space="preserve">. A high completion rate of fact-find forms is required (with minimum targets set by year; for example, the initial minimum was that 20–30% of cases include a proper fact-find, with expectations rising over time).</w:t>
      </w:r>
    </w:p>
    <w:p>
      <w:pPr>
        <w:numPr>
          <w:ilvl w:val="0"/>
          <w:numId w:val="1001"/>
        </w:numPr>
      </w:pPr>
      <w:r>
        <w:rPr>
          <w:b/>
          <w:bCs/>
        </w:rPr>
        <w:t xml:space="preserve">Policy Persistency Rate</w:t>
      </w:r>
      <w:r>
        <w:t xml:space="preserve"> </w:t>
      </w:r>
      <w:r>
        <w:t xml:space="preserve">– Typically evaluated at</w:t>
      </w:r>
      <w:r>
        <w:t xml:space="preserve"> </w:t>
      </w:r>
      <w:r>
        <w:rPr>
          <w:b/>
          <w:bCs/>
        </w:rPr>
        <w:t xml:space="preserve">13 months (first-year persistency)</w:t>
      </w:r>
      <w:r>
        <w:t xml:space="preserve"> </w:t>
      </w:r>
      <w:r>
        <w:t xml:space="preserve">and</w:t>
      </w:r>
      <w:r>
        <w:t xml:space="preserve"> </w:t>
      </w:r>
      <w:r>
        <w:rPr>
          <w:b/>
          <w:bCs/>
        </w:rPr>
        <w:t xml:space="preserve">25 months (second-year persistency)</w:t>
      </w:r>
      <w:r>
        <w:t xml:space="preserve"> </w:t>
      </w:r>
      <w:r>
        <w:t xml:space="preserve">after sale. This KPI tracks the percentage of an agent’s policies that remain in force without lapsing early</w:t>
      </w:r>
      <w:hyperlink r:id="rId45">
        <w:r>
          <w:rPr>
            <w:rStyle w:val="Hyperlink"/>
          </w:rPr>
          <w:t xml:space="preserve">[23]</w:t>
        </w:r>
      </w:hyperlink>
      <w:r>
        <w:t xml:space="preserve">. BNM set high benchmarks (e.g. ~90% first-year persistency, ~80% second-year) to encourage sale of suitable products that customers can maintain</w:t>
      </w:r>
      <w:hyperlink r:id="rId45">
        <w:r>
          <w:rPr>
            <w:rStyle w:val="Hyperlink"/>
          </w:rPr>
          <w:t xml:space="preserve">[23]</w:t>
        </w:r>
      </w:hyperlink>
      <w:r>
        <w:t xml:space="preserve">. Persistency is viewed as a proxy for customer satisfaction and proper matching of policy to client needs – if policies sold by an agent persist, it indicates the products were appropriate and the client continues to see value.</w:t>
      </w:r>
    </w:p>
    <w:p>
      <w:pPr>
        <w:numPr>
          <w:ilvl w:val="0"/>
          <w:numId w:val="1001"/>
        </w:numPr>
      </w:pPr>
      <w:r>
        <w:rPr>
          <w:b/>
          <w:bCs/>
        </w:rPr>
        <w:t xml:space="preserve">Number of Substantiated Complaints</w:t>
      </w:r>
      <w:r>
        <w:t xml:space="preserve"> </w:t>
      </w:r>
      <w:r>
        <w:t xml:space="preserve">– The count of valid customer complaints against an agent, typically related to misselling, poor disclosures, or improper conduct. Under the BSC,</w:t>
      </w:r>
      <w:r>
        <w:t xml:space="preserve"> </w:t>
      </w:r>
      <w:r>
        <w:rPr>
          <w:b/>
          <w:bCs/>
        </w:rPr>
        <w:t xml:space="preserve">zero complaints</w:t>
      </w:r>
      <w:r>
        <w:t xml:space="preserve"> </w:t>
      </w:r>
      <w:r>
        <w:t xml:space="preserve">is the goal for full points</w:t>
      </w:r>
      <w:hyperlink r:id="rId46">
        <w:r>
          <w:rPr>
            <w:rStyle w:val="Hyperlink"/>
          </w:rPr>
          <w:t xml:space="preserve">[24]</w:t>
        </w:r>
      </w:hyperlink>
      <w:r>
        <w:t xml:space="preserve">. Any substantiated complaint will negatively impact the agent’s score. This motivates agents to practice full compliance and ethical behavior to avoid customer grievances. Insurers track complaints received and resolved as part of this metric.</w:t>
      </w:r>
    </w:p>
    <w:p>
      <w:pPr>
        <w:numPr>
          <w:ilvl w:val="0"/>
          <w:numId w:val="1001"/>
        </w:numPr>
      </w:pPr>
      <w:r>
        <w:rPr>
          <w:b/>
          <w:bCs/>
        </w:rPr>
        <w:t xml:space="preserve">Continuous Professional Development (CPD) Hours</w:t>
      </w:r>
      <w:r>
        <w:t xml:space="preserve"> </w:t>
      </w:r>
      <w:r>
        <w:t xml:space="preserve">– The number of training or education hours the agent completed in the year. BNM requires a</w:t>
      </w:r>
      <w:r>
        <w:t xml:space="preserve"> </w:t>
      </w:r>
      <w:r>
        <w:rPr>
          <w:b/>
          <w:bCs/>
        </w:rPr>
        <w:t xml:space="preserve">minimum of 30 CPD hours annually</w:t>
      </w:r>
      <w:r>
        <w:t xml:space="preserve"> </w:t>
      </w:r>
      <w:r>
        <w:t xml:space="preserve">for agents</w:t>
      </w:r>
      <w:hyperlink r:id="rId47">
        <w:r>
          <w:rPr>
            <w:rStyle w:val="Hyperlink"/>
          </w:rPr>
          <w:t xml:space="preserve">[25]</w:t>
        </w:r>
      </w:hyperlink>
      <w:r>
        <w:t xml:space="preserve">. Meeting this threshold contributes to the BSC score, reinforcing the importance of continuous learning and professionalism. Agents who fail to meet the CPD hour requirement would lose the portion of score allocated to this KPI.</w:t>
      </w:r>
    </w:p>
    <w:p>
      <w:pPr>
        <w:numPr>
          <w:ilvl w:val="0"/>
          <w:numId w:val="1001"/>
        </w:numPr>
      </w:pPr>
      <w:r>
        <w:rPr>
          <w:b/>
          <w:bCs/>
        </w:rPr>
        <w:t xml:space="preserve">(Additional Metric)</w:t>
      </w:r>
      <w:r>
        <w:t xml:space="preserve"> </w:t>
      </w:r>
      <w:r>
        <w:rPr>
          <w:i/>
          <w:iCs/>
        </w:rPr>
        <w:t xml:space="preserve">Product Mix / Activity Volume:</w:t>
      </w:r>
      <w:r>
        <w:t xml:space="preserve"> </w:t>
      </w:r>
      <w:r>
        <w:t xml:space="preserve">While BNM’s framework emphasizes non-sales KPIs, the industry (LIAM) also monitors basic productivity to ensure agents remain active. For example, some insurers include a minimum</w:t>
      </w:r>
      <w:r>
        <w:t xml:space="preserve"> </w:t>
      </w:r>
      <w:r>
        <w:rPr>
          <w:b/>
          <w:bCs/>
        </w:rPr>
        <w:t xml:space="preserve">“number of cases or annual premium”</w:t>
      </w:r>
      <w:r>
        <w:t xml:space="preserve"> </w:t>
      </w:r>
      <w:r>
        <w:t xml:space="preserve">threshold in the scorecard with a modest weight (seen in industry implementations as ~30% weight)</w:t>
      </w:r>
      <w:hyperlink r:id="rId48">
        <w:r>
          <w:rPr>
            <w:rStyle w:val="Hyperlink"/>
          </w:rPr>
          <w:t xml:space="preserve">[26]</w:t>
        </w:r>
      </w:hyperlink>
      <w:r>
        <w:t xml:space="preserve">. This is to ensure that an agent writes a sustainable volume of business. However, this sales metric is kept separate from the four quality KPIs mandated by BNM. The core BNM Balanced Scorecard for compliance and quality is exclusively measured on fact-find, persistency, complaints, and CPD</w:t>
      </w:r>
      <w:hyperlink r:id="rId43">
        <w:r>
          <w:rPr>
            <w:rStyle w:val="Hyperlink"/>
          </w:rPr>
          <w:t xml:space="preserve">[21]</w:t>
        </w:r>
      </w:hyperlink>
      <w:r>
        <w:t xml:space="preserve">.</w:t>
      </w:r>
    </w:p>
    <w:p>
      <w:pPr>
        <w:pStyle w:val="FirstParagraph"/>
      </w:pPr>
      <w:r>
        <w:t xml:space="preserve">Each KPI is given a weight in the overall score (for instance, persistency might carry a higher weight than complaints). Agents receive an</w:t>
      </w:r>
      <w:r>
        <w:t xml:space="preserve"> </w:t>
      </w:r>
      <w:r>
        <w:rPr>
          <w:b/>
          <w:bCs/>
        </w:rPr>
        <w:t xml:space="preserve">annual BSC score or rating</w:t>
      </w:r>
      <w:r>
        <w:t xml:space="preserve"> </w:t>
      </w:r>
      <w:r>
        <w:t xml:space="preserve">based on their performance against these metrics. BNM’s guidelines initially set the BSC portion at</w:t>
      </w:r>
      <w:r>
        <w:t xml:space="preserve"> </w:t>
      </w:r>
      <w:r>
        <w:rPr>
          <w:b/>
          <w:bCs/>
        </w:rPr>
        <w:t xml:space="preserve">25% of an agent’s total commissions</w:t>
      </w:r>
      <w:r>
        <w:t xml:space="preserve">, meaning up to 25% of commission is “at risk” and payable based on achieving the non-sales KPIs</w:t>
      </w:r>
      <w:hyperlink r:id="rId36">
        <w:r>
          <w:rPr>
            <w:rStyle w:val="Hyperlink"/>
          </w:rPr>
          <w:t xml:space="preserve">[14]</w:t>
        </w:r>
      </w:hyperlink>
      <w:r>
        <w:t xml:space="preserve">. If an agent meets all the minimum standards (e.g. high persistency, no complaints, completed fact-finds and CPD), they earn full BSC commission. Shortfalls in these areas can reduce the payable commission proportion. Notably, BNM even allows insurers to pay BSC-linked commissions beyond normal commission caps as a reward for quality, provided the excess is funded from the insurer’s shareholders’ funds (not passed as cost to policyholders)</w:t>
      </w:r>
      <w:hyperlink r:id="rId36">
        <w:r>
          <w:rPr>
            <w:rStyle w:val="Hyperlink"/>
          </w:rPr>
          <w:t xml:space="preserve">[27]</w:t>
        </w:r>
      </w:hyperlink>
      <w:r>
        <w:t xml:space="preserve">. This underscores the intent to</w:t>
      </w:r>
      <w:r>
        <w:t xml:space="preserve"> </w:t>
      </w:r>
      <w:r>
        <w:rPr>
          <w:b/>
          <w:bCs/>
        </w:rPr>
        <w:t xml:space="preserve">financially reward good conduct and service</w:t>
      </w:r>
      <w:r>
        <w:t xml:space="preserve">.</w:t>
      </w:r>
    </w:p>
    <w:bookmarkEnd w:id="49"/>
    <w:bookmarkStart w:id="59" w:name="singapore-bsc-metrics-under-mas"/>
    <w:p>
      <w:pPr>
        <w:pStyle w:val="Heading3"/>
      </w:pPr>
      <w:r>
        <w:t xml:space="preserve">Singapore – BSC Metrics under MAS</w:t>
      </w:r>
    </w:p>
    <w:p>
      <w:pPr>
        <w:pStyle w:val="FirstParagraph"/>
      </w:pPr>
      <w:r>
        <w:t xml:space="preserve">MAS’s Balanced Scorecard for financial adviser representatives focuses on</w:t>
      </w:r>
      <w:r>
        <w:t xml:space="preserve"> </w:t>
      </w:r>
      <w:r>
        <w:rPr>
          <w:b/>
          <w:bCs/>
        </w:rPr>
        <w:t xml:space="preserve">four key conduct criteria</w:t>
      </w:r>
      <w:r>
        <w:t xml:space="preserve">, all of which are</w:t>
      </w:r>
      <w:r>
        <w:t xml:space="preserve"> </w:t>
      </w:r>
      <w:r>
        <w:rPr>
          <w:b/>
          <w:bCs/>
        </w:rPr>
        <w:t xml:space="preserve">non-sales indicators related to the quality of advisory service</w:t>
      </w:r>
      <w:hyperlink r:id="rId50">
        <w:r>
          <w:rPr>
            <w:rStyle w:val="Hyperlink"/>
          </w:rPr>
          <w:t xml:space="preserve">[28]</w:t>
        </w:r>
      </w:hyperlink>
      <w:r>
        <w:t xml:space="preserve">:</w:t>
      </w:r>
    </w:p>
    <w:p>
      <w:pPr>
        <w:numPr>
          <w:ilvl w:val="0"/>
          <w:numId w:val="1002"/>
        </w:numPr>
      </w:pPr>
      <w:r>
        <w:rPr>
          <w:b/>
          <w:bCs/>
        </w:rPr>
        <w:t xml:space="preserve">Understanding of Client’s Needs:</w:t>
      </w:r>
      <w:r>
        <w:t xml:space="preserve"> </w:t>
      </w:r>
      <w:r>
        <w:t xml:space="preserve">This criterion assesses whether the representative properly conducts the fact-find/needs analysis process. The adviser should gather information on the client’s financial objectives, risk profile, and personal circumstances. In practice, MAS expects documentation that the rep has identified the client’s needs and financial situation before proposing any product</w:t>
      </w:r>
      <w:hyperlink r:id="rId51">
        <w:r>
          <w:rPr>
            <w:rStyle w:val="Hyperlink"/>
          </w:rPr>
          <w:t xml:space="preserve">[29]</w:t>
        </w:r>
      </w:hyperlink>
      <w:r>
        <w:t xml:space="preserve">. Failure to do a proper fact-find (for instance, skipping the know-your-client steps or using a one-size-fits-all approach) would count as an infraction under the BSC.</w:t>
      </w:r>
    </w:p>
    <w:p>
      <w:pPr>
        <w:numPr>
          <w:ilvl w:val="0"/>
          <w:numId w:val="1002"/>
        </w:numPr>
      </w:pPr>
      <w:r>
        <w:rPr>
          <w:b/>
          <w:bCs/>
        </w:rPr>
        <w:t xml:space="preserve">Suitability of Product Recommendations:</w:t>
      </w:r>
      <w:r>
        <w:t xml:space="preserve"> </w:t>
      </w:r>
      <w:r>
        <w:t xml:space="preserve">This measures the appropriateness of the products recommended relative to the client’s needs and profile. Even if a fact-find is done, the product chosen must be suitable (e.g. no selling of high-risk investment products to a risk-averse, low-income client). The Independent Sales Audit reviews sales to see if the recommendations made were suitable and compliant with guidelines</w:t>
      </w:r>
      <w:hyperlink r:id="rId52">
        <w:r>
          <w:rPr>
            <w:rStyle w:val="Hyperlink"/>
          </w:rPr>
          <w:t xml:space="preserve">[30]</w:t>
        </w:r>
      </w:hyperlink>
      <w:r>
        <w:t xml:space="preserve">. Recommending an unsuitable policy or investment (such as advising a client to churn a policy for one that benefits the agent more) would negatively impact the adviser’s score.</w:t>
      </w:r>
    </w:p>
    <w:p>
      <w:pPr>
        <w:numPr>
          <w:ilvl w:val="0"/>
          <w:numId w:val="1002"/>
        </w:numPr>
      </w:pPr>
      <w:r>
        <w:rPr>
          <w:b/>
          <w:bCs/>
        </w:rPr>
        <w:t xml:space="preserve">Adequacy of Information Disclosure:</w:t>
      </w:r>
      <w:r>
        <w:t xml:space="preserve"> </w:t>
      </w:r>
      <w:r>
        <w:t xml:space="preserve">This KPI looks at whether the adviser provided all necessary explanations, disclosures, and risk warnings to the customer during the sale. MAS requires disclosure of product features, fees, exclusions, and any potential conflicts of interest. Under the BSC, any omission or misrepresentation discovered – for example, if an adviser failed to inform the client of a policy’s lock-in period or non-guaranteed returns – is an infraction</w:t>
      </w:r>
      <w:hyperlink r:id="rId53">
        <w:r>
          <w:rPr>
            <w:rStyle w:val="Hyperlink"/>
          </w:rPr>
          <w:t xml:space="preserve">[31]</w:t>
        </w:r>
      </w:hyperlink>
      <w:r>
        <w:t xml:space="preserve">. Sufficient product summaries and official brochures should be provided; otherwise, the agent’s BSC grade will suffer.</w:t>
      </w:r>
    </w:p>
    <w:p>
      <w:pPr>
        <w:numPr>
          <w:ilvl w:val="0"/>
          <w:numId w:val="1002"/>
        </w:numPr>
      </w:pPr>
      <w:r>
        <w:rPr>
          <w:b/>
          <w:bCs/>
        </w:rPr>
        <w:t xml:space="preserve">Professionalism and Ethical Conduct:</w:t>
      </w:r>
      <w:r>
        <w:t xml:space="preserve"> </w:t>
      </w:r>
      <w:r>
        <w:t xml:space="preserve">This is a broad measure covering the representative’s overall conduct, including compliance with ethical standards and MAS regulations during the advisory process. It can encompass things like not engaging in high-pressure sales tactics, not making false statements, and maintaining a professional demeanor. It also covers regulatory compliance such as proper documentation and avoiding conflicts of interest. Any lapse, such as an adviser being overly pushy with a vulnerable client or falsifying a signature, would be captured here and result in BSC penalties</w:t>
      </w:r>
      <w:hyperlink r:id="rId31">
        <w:r>
          <w:rPr>
            <w:rStyle w:val="Hyperlink"/>
          </w:rPr>
          <w:t xml:space="preserve">[10]</w:t>
        </w:r>
      </w:hyperlink>
      <w:r>
        <w:t xml:space="preserve">. This metric ensures advisers maintain the standards of integrity expected by the regulators.</w:t>
      </w:r>
    </w:p>
    <w:p>
      <w:pPr>
        <w:pStyle w:val="FirstParagraph"/>
      </w:pPr>
      <w:r>
        <w:t xml:space="preserve">Unlike Malaysia’s framework,</w:t>
      </w:r>
      <w:r>
        <w:t xml:space="preserve"> </w:t>
      </w:r>
      <w:r>
        <w:rPr>
          <w:b/>
          <w:bCs/>
        </w:rPr>
        <w:t xml:space="preserve">persistency or retention of business is not explicitly a MAS BSC metric</w:t>
      </w:r>
      <w:r>
        <w:t xml:space="preserve">. Likewise, ongoing training hours (CPD) are mandated by licensing rules but are not part of the quarterly BSC scoring. MAS’s approach is more</w:t>
      </w:r>
      <w:r>
        <w:t xml:space="preserve"> </w:t>
      </w:r>
      <w:r>
        <w:rPr>
          <w:b/>
          <w:bCs/>
        </w:rPr>
        <w:t xml:space="preserve">immediate compliance-focused</w:t>
      </w:r>
      <w:r>
        <w:t xml:space="preserve">, evaluating interactions around the point of sale. These four KPIs are assessed continuously via</w:t>
      </w:r>
      <w:r>
        <w:t xml:space="preserve"> </w:t>
      </w:r>
      <w:r>
        <w:rPr>
          <w:b/>
          <w:bCs/>
        </w:rPr>
        <w:t xml:space="preserve">post-transaction audits, mystery shopping, and customer feedback</w:t>
      </w:r>
      <w:r>
        <w:t xml:space="preserve">. Each quarter, an independent unit within the firm reviews a sample of the representative’s sales files and conducts client surveys or mystery shopper exercises to detect any infractions relating to the above four areas</w:t>
      </w:r>
      <w:hyperlink r:id="rId54">
        <w:r>
          <w:rPr>
            <w:rStyle w:val="Hyperlink"/>
          </w:rPr>
          <w:t xml:space="preserve">[32]</w:t>
        </w:r>
      </w:hyperlink>
      <w:r>
        <w:t xml:space="preserve">. Based on the findings, the rep is assigned a</w:t>
      </w:r>
      <w:r>
        <w:t xml:space="preserve"> </w:t>
      </w:r>
      <w:r>
        <w:rPr>
          <w:b/>
          <w:bCs/>
        </w:rPr>
        <w:t xml:space="preserve">BSC grade (typically A to E)</w:t>
      </w:r>
      <w:r>
        <w:t xml:space="preserve"> </w:t>
      </w:r>
      <w:r>
        <w:t xml:space="preserve">for that quarter</w:t>
      </w:r>
      <w:hyperlink r:id="rId55">
        <w:r>
          <w:rPr>
            <w:rStyle w:val="Hyperlink"/>
          </w:rPr>
          <w:t xml:space="preserve">[33]</w:t>
        </w:r>
      </w:hyperlink>
      <w:r>
        <w:t xml:space="preserve">.</w:t>
      </w:r>
    </w:p>
    <w:p>
      <w:pPr>
        <w:pStyle w:val="BodyText"/>
      </w:pPr>
      <w:r>
        <w:t xml:space="preserve">The grade then determines the portion of the adviser’s</w:t>
      </w:r>
      <w:r>
        <w:t xml:space="preserve"> </w:t>
      </w:r>
      <w:r>
        <w:rPr>
          <w:b/>
          <w:bCs/>
        </w:rPr>
        <w:t xml:space="preserve">variable commission or bonus</w:t>
      </w:r>
      <w:r>
        <w:t xml:space="preserve"> </w:t>
      </w:r>
      <w:r>
        <w:t xml:space="preserve">they are allowed to receive for that quarter. A top grade “A” indicates no or minimal infractions; the representative receives</w:t>
      </w:r>
      <w:r>
        <w:t xml:space="preserve"> </w:t>
      </w:r>
      <w:r>
        <w:rPr>
          <w:b/>
          <w:bCs/>
        </w:rPr>
        <w:t xml:space="preserve">100% of their variable remuneration</w:t>
      </w:r>
      <w:hyperlink r:id="rId56">
        <w:r>
          <w:rPr>
            <w:rStyle w:val="Hyperlink"/>
          </w:rPr>
          <w:t xml:space="preserve">[34]</w:t>
        </w:r>
      </w:hyperlink>
      <w:r>
        <w:t xml:space="preserve">. Lower grades entail significant pay cuts – e.g. a “D” or “E” grade indicates serious compliance issues, resulting in the rep forfeiting most or even all of the variable incentive (an “E” grade may mean only ≤25% of the variable pay is paid out)</w:t>
      </w:r>
      <w:hyperlink r:id="rId57">
        <w:r>
          <w:rPr>
            <w:rStyle w:val="Hyperlink"/>
          </w:rPr>
          <w:t xml:space="preserve">[35]</w:t>
        </w:r>
      </w:hyperlink>
      <w:r>
        <w:t xml:space="preserve">. These penalties create a strong financial deterrent against misconduct. Importantly,</w:t>
      </w:r>
      <w:r>
        <w:t xml:space="preserve"> </w:t>
      </w:r>
      <w:r>
        <w:rPr>
          <w:b/>
          <w:bCs/>
        </w:rPr>
        <w:t xml:space="preserve">supervisors’ compensation is also linked</w:t>
      </w:r>
      <w:r>
        <w:t xml:space="preserve">: if advisers under a manager’s supervision perform poorly on BSC metrics, the supervisor’s own BSC grade and incentive are downgraded in tandem</w:t>
      </w:r>
      <w:hyperlink r:id="rId58">
        <w:r>
          <w:rPr>
            <w:rStyle w:val="Hyperlink"/>
          </w:rPr>
          <w:t xml:space="preserve">[36]</w:t>
        </w:r>
      </w:hyperlink>
      <w:r>
        <w:t xml:space="preserve">. This motivates management to enforce compliance and coach their teams. MAS provided these strict guidelines to align remuneration with customer-centric behavior across the board.</w:t>
      </w:r>
    </w:p>
    <w:bookmarkEnd w:id="59"/>
    <w:bookmarkEnd w:id="60"/>
    <w:bookmarkStart w:id="62" w:name="impact-on-agent-point-of-sale-activities"/>
    <w:p>
      <w:pPr>
        <w:pStyle w:val="Heading2"/>
      </w:pPr>
      <w:r>
        <w:t xml:space="preserve">Impact on Agent Point-of-Sale Activities</w:t>
      </w:r>
    </w:p>
    <w:p>
      <w:pPr>
        <w:pStyle w:val="FirstParagraph"/>
      </w:pPr>
      <w:r>
        <w:t xml:space="preserve">The introduction of Balanced Scorecard systems has markedly influenced how insurance agents and financial advisers conduct their</w:t>
      </w:r>
      <w:r>
        <w:t xml:space="preserve"> </w:t>
      </w:r>
      <w:r>
        <w:rPr>
          <w:b/>
          <w:bCs/>
        </w:rPr>
        <w:t xml:space="preserve">point-of-sale (POS) activities</w:t>
      </w:r>
      <w:r>
        <w:t xml:space="preserve"> </w:t>
      </w:r>
      <w:r>
        <w:t xml:space="preserve">in both countries. By tying part of compensation to advisory quality, agents must integrate compliance and customer interest into each sale interaction:</w:t>
      </w:r>
    </w:p>
    <w:p>
      <w:pPr>
        <w:numPr>
          <w:ilvl w:val="0"/>
          <w:numId w:val="1003"/>
        </w:numPr>
      </w:pPr>
      <w:r>
        <w:rPr>
          <w:b/>
          <w:bCs/>
        </w:rPr>
        <w:t xml:space="preserve">Needs-Based Product Recommendations:</w:t>
      </w:r>
      <w:r>
        <w:t xml:space="preserve"> </w:t>
      </w:r>
      <w:r>
        <w:t xml:space="preserve">Agents now follow a more rigorous</w:t>
      </w:r>
      <w:r>
        <w:t xml:space="preserve"> </w:t>
      </w:r>
      <w:r>
        <w:rPr>
          <w:b/>
          <w:bCs/>
        </w:rPr>
        <w:t xml:space="preserve">fact-finding and needs analysis process</w:t>
      </w:r>
      <w:r>
        <w:t xml:space="preserve"> </w:t>
      </w:r>
      <w:r>
        <w:t xml:space="preserve">before pitching a product. In</w:t>
      </w:r>
      <w:r>
        <w:t xml:space="preserve"> </w:t>
      </w:r>
      <w:r>
        <w:rPr>
          <w:b/>
          <w:bCs/>
        </w:rPr>
        <w:t xml:space="preserve">Malaysia</w:t>
      </w:r>
      <w:r>
        <w:t xml:space="preserve">, the BSC’s fact-find completion KPI means an agent should not skip collecting data on the client’s income, dependents, goals, etc., as doing so would lower their score</w:t>
      </w:r>
      <w:hyperlink r:id="rId44">
        <w:r>
          <w:rPr>
            <w:rStyle w:val="Hyperlink"/>
          </w:rPr>
          <w:t xml:space="preserve">[22]</w:t>
        </w:r>
      </w:hyperlink>
      <w:r>
        <w:t xml:space="preserve">. Agents are careful to recommend products that genuinely fit the customer’s profile (for instance, recommending a basic term or medical plan if that suits the client’s need, rather than pushing a higher-commission investment-linked policy inappropriately). In</w:t>
      </w:r>
      <w:r>
        <w:t xml:space="preserve"> </w:t>
      </w:r>
      <w:r>
        <w:rPr>
          <w:b/>
          <w:bCs/>
        </w:rPr>
        <w:t xml:space="preserve">Singapore</w:t>
      </w:r>
      <w:r>
        <w:t xml:space="preserve">, this behavior is even more directly enforced – understanding client needs and ensuring product suitability are explicitly graded every quarter</w:t>
      </w:r>
      <w:hyperlink r:id="rId52">
        <w:r>
          <w:rPr>
            <w:rStyle w:val="Hyperlink"/>
          </w:rPr>
          <w:t xml:space="preserve">[30]</w:t>
        </w:r>
      </w:hyperlink>
      <w:r>
        <w:t xml:space="preserve">. Representatives must document their rationale for each product recommendation to pass the internal audits. Cases of obvious mismatch (e.g. selling a costly whole-life policy to a retiree who asked for short-term savings) will be flagged by compliance and result in lost income for the rep. Thus, the BSC has made</w:t>
      </w:r>
      <w:r>
        <w:t xml:space="preserve"> </w:t>
      </w:r>
      <w:r>
        <w:rPr>
          <w:b/>
          <w:bCs/>
        </w:rPr>
        <w:t xml:space="preserve">“selling the right product, not just any product”</w:t>
      </w:r>
      <w:r>
        <w:t xml:space="preserve"> </w:t>
      </w:r>
      <w:r>
        <w:t xml:space="preserve">a personal financial interest for agents.</w:t>
      </w:r>
    </w:p>
    <w:p>
      <w:pPr>
        <w:numPr>
          <w:ilvl w:val="0"/>
          <w:numId w:val="1003"/>
        </w:numPr>
      </w:pPr>
      <w:r>
        <w:rPr>
          <w:b/>
          <w:bCs/>
        </w:rPr>
        <w:t xml:space="preserve">Enhanced Disclosure and Documentation:</w:t>
      </w:r>
      <w:r>
        <w:t xml:space="preserve"> </w:t>
      </w:r>
      <w:r>
        <w:t xml:space="preserve">At the POS, insurance advisers are now much more diligent in providing all required disclosures and keeping records.</w:t>
      </w:r>
      <w:r>
        <w:t xml:space="preserve"> </w:t>
      </w:r>
      <w:r>
        <w:rPr>
          <w:b/>
          <w:bCs/>
        </w:rPr>
        <w:t xml:space="preserve">MAS’s BSC</w:t>
      </w:r>
      <w:r>
        <w:t xml:space="preserve"> </w:t>
      </w:r>
      <w:r>
        <w:t xml:space="preserve">strongly incentivizes full transparency – agents will make sure clients sign off on benefit illustrations, receive product summaries, and understand key exclusions, because any omission might be discovered by the next mystery shopper or audit call-back</w:t>
      </w:r>
      <w:hyperlink r:id="rId31">
        <w:r>
          <w:rPr>
            <w:rStyle w:val="Hyperlink"/>
          </w:rPr>
          <w:t xml:space="preserve">[10]</w:t>
        </w:r>
      </w:hyperlink>
      <w:r>
        <w:t xml:space="preserve">. Agents in Singapore often conduct a formal</w:t>
      </w:r>
      <w:r>
        <w:t xml:space="preserve"> </w:t>
      </w:r>
      <w:r>
        <w:rPr>
          <w:b/>
          <w:bCs/>
        </w:rPr>
        <w:t xml:space="preserve">financial needs analysis (FNA)</w:t>
      </w:r>
      <w:r>
        <w:t xml:space="preserve"> </w:t>
      </w:r>
      <w:r>
        <w:t xml:space="preserve">and present a Statement of Advice to document why a product was recommended, aligning with the BSC focus on proper disclosure and ethical conduct. In</w:t>
      </w:r>
      <w:r>
        <w:t xml:space="preserve"> </w:t>
      </w:r>
      <w:r>
        <w:rPr>
          <w:b/>
          <w:bCs/>
        </w:rPr>
        <w:t xml:space="preserve">Malaysia</w:t>
      </w:r>
      <w:r>
        <w:t xml:space="preserve">, while mystery shopping is less central, agents know that</w:t>
      </w:r>
      <w:r>
        <w:t xml:space="preserve"> </w:t>
      </w:r>
      <w:r>
        <w:rPr>
          <w:b/>
          <w:bCs/>
        </w:rPr>
        <w:t xml:space="preserve">customer complaints</w:t>
      </w:r>
      <w:r>
        <w:t xml:space="preserve"> </w:t>
      </w:r>
      <w:r>
        <w:t xml:space="preserve">about nondisclosure or misrepresentation will hurt their BSC score</w:t>
      </w:r>
      <w:hyperlink r:id="rId43">
        <w:r>
          <w:rPr>
            <w:rStyle w:val="Hyperlink"/>
          </w:rPr>
          <w:t xml:space="preserve">[21]</w:t>
        </w:r>
      </w:hyperlink>
      <w:r>
        <w:t xml:space="preserve">. Therefore, Malaysian agents, too, have become more meticulous in explaining policy terms (e.g. waiting periods, surrender charges) to avoid future grievances. The requirement to complete the Customer Fact Find form for each sale also means documentation is no longer seen as a perfunctory task but rather as a critical part of the sales process. In summary, the BSC frameworks have ingrained a</w:t>
      </w:r>
      <w:r>
        <w:t xml:space="preserve"> </w:t>
      </w:r>
      <w:r>
        <w:rPr>
          <w:b/>
          <w:bCs/>
        </w:rPr>
        <w:t xml:space="preserve">compliance culture at the point of sale</w:t>
      </w:r>
      <w:r>
        <w:t xml:space="preserve">, where agents double-check that their advice process and paperwork meet regulatory standards before closing a deal.</w:t>
      </w:r>
    </w:p>
    <w:p>
      <w:pPr>
        <w:numPr>
          <w:ilvl w:val="0"/>
          <w:numId w:val="1003"/>
        </w:numPr>
      </w:pPr>
      <w:r>
        <w:rPr>
          <w:b/>
          <w:bCs/>
        </w:rPr>
        <w:t xml:space="preserve">Ethical Sales Tactics:</w:t>
      </w:r>
      <w:r>
        <w:t xml:space="preserve"> </w:t>
      </w:r>
      <w:r>
        <w:t xml:space="preserve">Both regulators intended the BSC to curb unethical sales tactics. On the ground, this means agents avoid practices like twisting (inducing clients to unnecessarily replace policies), making unrealistic promises, or applying undue pressure – all of which would likely lead to infractions under the BSC (either caught via audits or via customer complaints). Singapore’s MAS even provides examples of</w:t>
      </w:r>
      <w:r>
        <w:t xml:space="preserve"> </w:t>
      </w:r>
      <w:r>
        <w:rPr>
          <w:b/>
          <w:bCs/>
        </w:rPr>
        <w:t xml:space="preserve">prohibited sales tactics</w:t>
      </w:r>
      <w:r>
        <w:t xml:space="preserve"> </w:t>
      </w:r>
      <w:r>
        <w:t xml:space="preserve">in its guidelines to illustrate what would constitute a BSC breach</w:t>
      </w:r>
      <w:hyperlink r:id="rId61">
        <w:r>
          <w:rPr>
            <w:rStyle w:val="Hyperlink"/>
          </w:rPr>
          <w:t xml:space="preserve">[37]</w:t>
        </w:r>
      </w:hyperlink>
      <w:r>
        <w:t xml:space="preserve">. Malaysian insurers similarly train agents on ethical selling, emphasizing long-term relationship building over quick sales, since persistent business and satisfied customers are rewarded by the BSC. The</w:t>
      </w:r>
      <w:r>
        <w:t xml:space="preserve"> </w:t>
      </w:r>
      <w:r>
        <w:rPr>
          <w:b/>
          <w:bCs/>
        </w:rPr>
        <w:t xml:space="preserve">financial disincentive for misbehavior</w:t>
      </w:r>
      <w:r>
        <w:t xml:space="preserve"> </w:t>
      </w:r>
      <w:r>
        <w:t xml:space="preserve">is tangible: an agent who might earn, say, a RM10,000 commission on a big sale could lose 25% of that if the sale was done without proper fact-find or results in a complaint, per BNM’s rules</w:t>
      </w:r>
      <w:hyperlink r:id="rId36">
        <w:r>
          <w:rPr>
            <w:rStyle w:val="Hyperlink"/>
          </w:rPr>
          <w:t xml:space="preserve">[14]</w:t>
        </w:r>
      </w:hyperlink>
      <w:r>
        <w:t xml:space="preserve">. In Singapore, an egregious mis-selling incident not only risks loss of commission but can trigger regulatory penalties or prohibition orders (as recent enforcement cases show)</w:t>
      </w:r>
      <w:hyperlink r:id="rId41">
        <w:r>
          <w:rPr>
            <w:rStyle w:val="Hyperlink"/>
          </w:rPr>
          <w:t xml:space="preserve">[20]</w:t>
        </w:r>
      </w:hyperlink>
      <w:r>
        <w:t xml:space="preserve">. Consequently, agents now tend to err on the side of caution – when in doubt, they consult their compliance team or manager during the sales process to ensure recommendations and disclosures are appropriate. Overall, the Balanced Scorecard has led to more</w:t>
      </w:r>
      <w:r>
        <w:t xml:space="preserve"> </w:t>
      </w:r>
      <w:r>
        <w:rPr>
          <w:b/>
          <w:bCs/>
        </w:rPr>
        <w:t xml:space="preserve">client-centric sales conversations</w:t>
      </w:r>
      <w:r>
        <w:t xml:space="preserve"> </w:t>
      </w:r>
      <w:r>
        <w:t xml:space="preserve">and a decline in purely aggressive sales pushes, aligning daily agent behavior with the regulators’ fair dealing objectives.</w:t>
      </w:r>
    </w:p>
    <w:bookmarkEnd w:id="62"/>
    <w:bookmarkStart w:id="67" w:name="Xaf1a6cb2fc8e2bcd5a7a66bf7242fbddd3c1dae"/>
    <w:p>
      <w:pPr>
        <w:pStyle w:val="Heading2"/>
      </w:pPr>
      <w:r>
        <w:t xml:space="preserve">Impact on Post-Sale Servicing and Follow-Up</w:t>
      </w:r>
    </w:p>
    <w:p>
      <w:pPr>
        <w:pStyle w:val="FirstParagraph"/>
      </w:pPr>
      <w:r>
        <w:t xml:space="preserve">Beyond the point of sale, Balanced Scorecard frameworks also influence how agents behave</w:t>
      </w:r>
      <w:r>
        <w:t xml:space="preserve"> </w:t>
      </w:r>
      <w:r>
        <w:rPr>
          <w:b/>
          <w:bCs/>
        </w:rPr>
        <w:t xml:space="preserve">after a policy is sold</w:t>
      </w:r>
      <w:r>
        <w:t xml:space="preserve">, in terms of ongoing client service and policy maintenance:</w:t>
      </w:r>
    </w:p>
    <w:p>
      <w:pPr>
        <w:numPr>
          <w:ilvl w:val="0"/>
          <w:numId w:val="1004"/>
        </w:numPr>
      </w:pPr>
      <w:r>
        <w:rPr>
          <w:b/>
          <w:bCs/>
        </w:rPr>
        <w:t xml:space="preserve">Persistency and Lapse Management:</w:t>
      </w:r>
      <w:r>
        <w:t xml:space="preserve"> </w:t>
      </w:r>
      <w:r>
        <w:t xml:space="preserve">In Malaysia,</w:t>
      </w:r>
      <w:r>
        <w:t xml:space="preserve"> </w:t>
      </w:r>
      <w:r>
        <w:rPr>
          <w:b/>
          <w:bCs/>
        </w:rPr>
        <w:t xml:space="preserve">policy persistency</w:t>
      </w:r>
      <w:r>
        <w:t xml:space="preserve"> </w:t>
      </w:r>
      <w:r>
        <w:t xml:space="preserve">is a key metric, so agents are highly motivated to keep their clients’ policies active beyond the first year. This has driven changes in post-sale practices: agents perform more frequent follow-ups with clients, such as reminders for premium due dates, annual policy reviews, and assisting with minor policy servicing needs, all aimed at preventing lapses. If a client is unhappy or considering surrendering a policy, an agent now has strong reason to intervene and resolve issues (for example, by clarifying benefits or adjusting coverage) to save the policy. Many Malaysian insurers monitor each agent’s</w:t>
      </w:r>
      <w:r>
        <w:t xml:space="preserve"> </w:t>
      </w:r>
      <w:r>
        <w:rPr>
          <w:b/>
          <w:bCs/>
        </w:rPr>
        <w:t xml:space="preserve">13th-month persistency rate</w:t>
      </w:r>
      <w:r>
        <w:t xml:space="preserve"> </w:t>
      </w:r>
      <w:r>
        <w:t xml:space="preserve">and will alert agents if their rate is dipping, prompting remedial action since a low persistency directly cuts into the agent’s BSC commission</w:t>
      </w:r>
      <w:hyperlink r:id="rId45">
        <w:r>
          <w:rPr>
            <w:rStyle w:val="Hyperlink"/>
          </w:rPr>
          <w:t xml:space="preserve">[23]</w:t>
        </w:r>
      </w:hyperlink>
      <w:r>
        <w:t xml:space="preserve">. The BSC framework thus aligns the agent’s interest with the client’s long-term retention: an agent effectively “invests” in servicing each sale to ensure the customer stays satisfied and continues the coverage. In Singapore, persistency is not explicitly part of the BSC, but</w:t>
      </w:r>
      <w:r>
        <w:t xml:space="preserve"> </w:t>
      </w:r>
      <w:r>
        <w:rPr>
          <w:b/>
          <w:bCs/>
        </w:rPr>
        <w:t xml:space="preserve">indirectly</w:t>
      </w:r>
      <w:r>
        <w:t xml:space="preserve"> </w:t>
      </w:r>
      <w:r>
        <w:t xml:space="preserve">poor persistency can be a red flag that triggers audits or scrutiny. If many of an adviser’s clients prematurely terminate policies, supervisors may investigate whether the products were mis-sold (which could surface in customer complaints or MAS inspections). Moreover, MAS’s separate</w:t>
      </w:r>
      <w:r>
        <w:t xml:space="preserve"> </w:t>
      </w:r>
      <w:r>
        <w:rPr>
          <w:b/>
          <w:bCs/>
        </w:rPr>
        <w:t xml:space="preserve">Spreading and Capping of Commissions (SCC)</w:t>
      </w:r>
      <w:r>
        <w:t xml:space="preserve"> </w:t>
      </w:r>
      <w:r>
        <w:t xml:space="preserve">rules for life policies spread commission over a few years</w:t>
      </w:r>
      <w:hyperlink r:id="rId63">
        <w:r>
          <w:rPr>
            <w:rStyle w:val="Hyperlink"/>
          </w:rPr>
          <w:t xml:space="preserve">[38]</w:t>
        </w:r>
      </w:hyperlink>
      <w:r>
        <w:t xml:space="preserve">, giving advisers a stake in the policy staying in force to earn their full commission. Thus, in both markets agents now pay attention to lapse management: checking in with clients periodically, providing policyholder education, and offering to review coverage as needs change – all to support persistency and good customer outcomes.</w:t>
      </w:r>
    </w:p>
    <w:p>
      <w:pPr>
        <w:numPr>
          <w:ilvl w:val="0"/>
          <w:numId w:val="1004"/>
        </w:numPr>
      </w:pPr>
      <w:r>
        <w:rPr>
          <w:b/>
          <w:bCs/>
        </w:rPr>
        <w:t xml:space="preserve">Ongoing Customer Reviews and Support:</w:t>
      </w:r>
      <w:r>
        <w:t xml:space="preserve"> </w:t>
      </w:r>
      <w:r>
        <w:t xml:space="preserve">The BSC’s emphasis on customer-centric service has led to agents taking a more proactive approach post-sale. For instance,</w:t>
      </w:r>
      <w:r>
        <w:t xml:space="preserve"> </w:t>
      </w:r>
      <w:r>
        <w:rPr>
          <w:b/>
          <w:bCs/>
        </w:rPr>
        <w:t xml:space="preserve">Malaysia’s BSC outcome #2</w:t>
      </w:r>
      <w:r>
        <w:t xml:space="preserve"> </w:t>
      </w:r>
      <w:r>
        <w:t xml:space="preserve">explicitly expects “continuous servicing… throughout [the policy] term”</w:t>
      </w:r>
      <w:hyperlink r:id="rId44">
        <w:r>
          <w:rPr>
            <w:rStyle w:val="Hyperlink"/>
          </w:rPr>
          <w:t xml:space="preserve">[22]</w:t>
        </w:r>
      </w:hyperlink>
      <w:r>
        <w:t xml:space="preserve">. In practical terms, agents are encouraged (and sometimes required by their companies) to conduct annual reviews with clients, where they go over the client’s coverage, update any changes in circumstances, and ensure the policy still fits the client’s needs. These reviews not only improve customer satisfaction but also help pre-empt issues that could lead to complaints or lapses. Agents also respond faster to client inquiries or claims, knowing that poor service could translate into complaints which hurt their scorecard. In</w:t>
      </w:r>
      <w:r>
        <w:t xml:space="preserve"> </w:t>
      </w:r>
      <w:r>
        <w:rPr>
          <w:b/>
          <w:bCs/>
        </w:rPr>
        <w:t xml:space="preserve">Singapore</w:t>
      </w:r>
      <w:r>
        <w:t xml:space="preserve">, MAS introduced additional</w:t>
      </w:r>
      <w:r>
        <w:t xml:space="preserve"> </w:t>
      </w:r>
      <w:r>
        <w:rPr>
          <w:b/>
          <w:bCs/>
        </w:rPr>
        <w:t xml:space="preserve">post-transaction safeguards</w:t>
      </w:r>
      <w:r>
        <w:t xml:space="preserve"> </w:t>
      </w:r>
      <w:r>
        <w:t xml:space="preserve">in recent years that complement the BSC. For example, for certain vulnerable clients or complex products, advisers must facilitate follow-up call-backs by an independent party to confirm the client’s understanding</w:t>
      </w:r>
      <w:hyperlink r:id="rId64">
        <w:r>
          <w:rPr>
            <w:rStyle w:val="Hyperlink"/>
          </w:rPr>
          <w:t xml:space="preserve">[39]</w:t>
        </w:r>
      </w:hyperlink>
      <w:hyperlink r:id="rId65">
        <w:r>
          <w:rPr>
            <w:rStyle w:val="Hyperlink"/>
          </w:rPr>
          <w:t xml:space="preserve">[40]</w:t>
        </w:r>
      </w:hyperlink>
      <w:r>
        <w:t xml:space="preserve">. The results of these post-sale call-backs or surveys feed into the firm’s assessment of the representative. An agent whose client expresses dissatisfaction or confusion in a post-sale survey might face internal consequences or re-training. Conversely, consistent positive feedback can bolster an adviser’s standing. Thus, Singapore advisers have a strong incentive to ensure clients are fully clear on what they bought and remain happy afterwards – they often provide written summaries, check in shortly after the sale to address any doubts, and remain available for questions. The net effect in both countries is that</w:t>
      </w:r>
      <w:r>
        <w:t xml:space="preserve"> </w:t>
      </w:r>
      <w:r>
        <w:rPr>
          <w:b/>
          <w:bCs/>
        </w:rPr>
        <w:t xml:space="preserve">after-sales service is now a critical part of an agent’s performance</w:t>
      </w:r>
      <w:r>
        <w:t xml:space="preserve">, not just an afterthought. Agents devote time to nurturing relationships (e.g. sending policy anniversary reminders, newsletters, or holding client appreciation events) which contributes to a virtuous cycle: satisfied clients lead to fewer complaints and better persistency, which in turn reflect well on the agent’s Balanced Scorecard.</w:t>
      </w:r>
    </w:p>
    <w:p>
      <w:pPr>
        <w:numPr>
          <w:ilvl w:val="0"/>
          <w:numId w:val="1004"/>
        </w:numPr>
      </w:pPr>
      <w:r>
        <w:rPr>
          <w:b/>
          <w:bCs/>
        </w:rPr>
        <w:t xml:space="preserve">Handling of Complaints and Ethical Remediation:</w:t>
      </w:r>
      <w:r>
        <w:t xml:space="preserve"> </w:t>
      </w:r>
      <w:r>
        <w:t xml:space="preserve">When issues do arise post-sale, agents are now more responsive in resolving them. Under Malaysia’s BSC, even a single</w:t>
      </w:r>
      <w:r>
        <w:t xml:space="preserve"> </w:t>
      </w:r>
      <w:r>
        <w:rPr>
          <w:i/>
          <w:iCs/>
        </w:rPr>
        <w:t xml:space="preserve">substantiated complaint</w:t>
      </w:r>
      <w:r>
        <w:t xml:space="preserve"> </w:t>
      </w:r>
      <w:r>
        <w:t xml:space="preserve">can cost an agent the 10% weight allocated to that KPI</w:t>
      </w:r>
      <w:hyperlink r:id="rId46">
        <w:r>
          <w:rPr>
            <w:rStyle w:val="Hyperlink"/>
          </w:rPr>
          <w:t xml:space="preserve">[24]</w:t>
        </w:r>
      </w:hyperlink>
      <w:r>
        <w:t xml:space="preserve">. As a result, agents try to address client concerns before they escalate – for example, if a client complains about a miscommunication, the agent might immediately involve a supervisor to correct the misunderstanding or offer remedies (like policy adjustments or additional explanations). Insurers also established more robust complaint-handling units, but front-line agents take ownership because it impacts their own evaluation. In Singapore, while customer complaints feed into the BSC indirectly, MAS’s stance is strict: patterns of complaints can trigger deeper investigations and affect an adviser’s licensing status. Agents therefore are quick to rectify any mistake (such as giving the wrong product info) by contacting the client and documenting the correction. In serious cases of mis-selling uncovered post-sale, agents face not only BSC penalties but potential regulatory action (e.g. being put under tighter supervision or even banned)</w:t>
      </w:r>
      <w:hyperlink r:id="rId66">
        <w:r>
          <w:rPr>
            <w:rStyle w:val="Hyperlink"/>
          </w:rPr>
          <w:t xml:space="preserve">[41]</w:t>
        </w:r>
      </w:hyperlink>
      <w:r>
        <w:t xml:space="preserve">. This environment has impressed upon advisers the importance of</w:t>
      </w:r>
      <w:r>
        <w:t xml:space="preserve"> </w:t>
      </w:r>
      <w:r>
        <w:rPr>
          <w:b/>
          <w:bCs/>
        </w:rPr>
        <w:t xml:space="preserve">ethical conduct throughout the policy life cycle</w:t>
      </w:r>
      <w:r>
        <w:t xml:space="preserve">. If an agent discovers post-sale that a product sold is not in the client’s best interest (perhaps due to new information or a misjudgment), there is now pressure to be proactive – some firms allow agents to work with the client to rectify the situation (such as switching to a more suitable plan during the free-look period) in order to avoid future complaints. Overall, the Balanced Scorecard framework, coupled with regulatory oversight, has created a feedback loop:</w:t>
      </w:r>
      <w:r>
        <w:t xml:space="preserve"> </w:t>
      </w:r>
      <w:r>
        <w:rPr>
          <w:b/>
          <w:bCs/>
        </w:rPr>
        <w:t xml:space="preserve">good post-sale service and quick issue resolution lead to higher customer satisfaction, which in turn ensures better BSC results for the agent.</w:t>
      </w:r>
    </w:p>
    <w:bookmarkEnd w:id="67"/>
    <w:bookmarkStart w:id="68" w:name="X7ded2966b3eb763d4e09c81ee7ea1f68ff91f84"/>
    <w:p>
      <w:pPr>
        <w:pStyle w:val="Heading2"/>
      </w:pPr>
      <w:r>
        <w:t xml:space="preserve">Data Analytics and Performance Management under the BSC</w:t>
      </w:r>
    </w:p>
    <w:p>
      <w:pPr>
        <w:pStyle w:val="FirstParagraph"/>
      </w:pPr>
      <w:r>
        <w:t xml:space="preserve">Implementing the Balanced Scorecard system requires tracking a variety of performance data points, and agents as well as their companies have had to become more data-driven to manage compliance and performance:</w:t>
      </w:r>
    </w:p>
    <w:p>
      <w:pPr>
        <w:numPr>
          <w:ilvl w:val="0"/>
          <w:numId w:val="1005"/>
        </w:numPr>
      </w:pPr>
      <w:r>
        <w:rPr>
          <w:b/>
          <w:bCs/>
        </w:rPr>
        <w:t xml:space="preserve">Key Data Points Monitored:</w:t>
      </w:r>
      <w:r>
        <w:t xml:space="preserve"> </w:t>
      </w:r>
      <w:r>
        <w:t xml:space="preserve">Agents in both countries are now cognizant of specific metrics that determine their success beyond sales volumes. In</w:t>
      </w:r>
      <w:r>
        <w:t xml:space="preserve"> </w:t>
      </w:r>
      <w:r>
        <w:rPr>
          <w:b/>
          <w:bCs/>
        </w:rPr>
        <w:t xml:space="preserve">Malaysia</w:t>
      </w:r>
      <w:r>
        <w:t xml:space="preserve">, agents closely watch their</w:t>
      </w:r>
      <w:r>
        <w:t xml:space="preserve"> </w:t>
      </w:r>
      <w:r>
        <w:rPr>
          <w:i/>
          <w:iCs/>
        </w:rPr>
        <w:t xml:space="preserve">persistency ratios</w:t>
      </w:r>
      <w:r>
        <w:t xml:space="preserve"> </w:t>
      </w:r>
      <w:r>
        <w:t xml:space="preserve">(often receiving monthly or quarterly persistency reports from their insurers) and will know, for example, their 13-month persistency percentage at any given time. They also monitor their</w:t>
      </w:r>
      <w:r>
        <w:t xml:space="preserve"> </w:t>
      </w:r>
      <w:r>
        <w:rPr>
          <w:i/>
          <w:iCs/>
        </w:rPr>
        <w:t xml:space="preserve">fact-find completion rate</w:t>
      </w:r>
      <w:r>
        <w:t xml:space="preserve"> </w:t>
      </w:r>
      <w:r>
        <w:t xml:space="preserve">– many agencies keep internal records of how many client fact-find forms were fully completed versus total sales. Complaints are another critical data point; agents obviously strive for zero, but if any complaint is lodged, they track its status (substantiated or not) since a “substantiated complaint” is what hits the BSC. Likewise, agents keep track of their</w:t>
      </w:r>
      <w:r>
        <w:t xml:space="preserve"> </w:t>
      </w:r>
      <w:r>
        <w:rPr>
          <w:i/>
          <w:iCs/>
        </w:rPr>
        <w:t xml:space="preserve">CPD training hours</w:t>
      </w:r>
      <w:r>
        <w:t xml:space="preserve"> </w:t>
      </w:r>
      <w:r>
        <w:t xml:space="preserve">throughout the year to ensure they meet the 30-hour target well before year-end</w:t>
      </w:r>
      <w:hyperlink r:id="rId47">
        <w:r>
          <w:rPr>
            <w:rStyle w:val="Hyperlink"/>
          </w:rPr>
          <w:t xml:space="preserve">[25]</w:t>
        </w:r>
      </w:hyperlink>
      <w:r>
        <w:t xml:space="preserve">. Insurers often provide agents with an online dashboard or periodic scorecard report showing these KPIs so that agents can self-assess and adjust their behavior proactively. In</w:t>
      </w:r>
      <w:r>
        <w:t xml:space="preserve"> </w:t>
      </w:r>
      <w:r>
        <w:rPr>
          <w:b/>
          <w:bCs/>
        </w:rPr>
        <w:t xml:space="preserve">Singapore</w:t>
      </w:r>
      <w:r>
        <w:t xml:space="preserve">, the individual agent’s focus is more on qualitative compliance checkpoints – for instance, ensuring for each sale that they have a complete fact-find file, a documented needs analysis, and all required disclosure forms signed. While an adviser may not calculate a “percentage” for these the way persistency is calculated, they know that any single case lacking proper documentation could result in an infraction on their quarterly audit. Financial advisory firms also compile metrics like</w:t>
      </w:r>
      <w:r>
        <w:t xml:space="preserve"> </w:t>
      </w:r>
      <w:r>
        <w:rPr>
          <w:i/>
          <w:iCs/>
        </w:rPr>
        <w:t xml:space="preserve">percentage of files with full documentation</w:t>
      </w:r>
      <w:r>
        <w:t xml:space="preserve">,</w:t>
      </w:r>
      <w:r>
        <w:t xml:space="preserve"> </w:t>
      </w:r>
      <w:r>
        <w:rPr>
          <w:i/>
          <w:iCs/>
        </w:rPr>
        <w:t xml:space="preserve">number of infractions per representative per quarter</w:t>
      </w:r>
      <w:r>
        <w:t xml:space="preserve">, and</w:t>
      </w:r>
      <w:r>
        <w:t xml:space="preserve"> </w:t>
      </w:r>
      <w:r>
        <w:rPr>
          <w:i/>
          <w:iCs/>
        </w:rPr>
        <w:t xml:space="preserve">customer survey scores</w:t>
      </w:r>
      <w:r>
        <w:t xml:space="preserve">. Agents might receive a quarterly BSC report card indicating how many minor or major infractions were found in their sampled cases and their resultant grade. This level of transparency helps representatives know where they fell short (e.g., “2 cases had inadequate disclosure out of 10 sampled”) so they can specifically improve in that area in future sales.</w:t>
      </w:r>
    </w:p>
    <w:p>
      <w:pPr>
        <w:numPr>
          <w:ilvl w:val="0"/>
          <w:numId w:val="1005"/>
        </w:numPr>
      </w:pPr>
      <w:r>
        <w:rPr>
          <w:b/>
          <w:bCs/>
        </w:rPr>
        <w:t xml:space="preserve">Use of Analytics and Dashboards:</w:t>
      </w:r>
      <w:r>
        <w:t xml:space="preserve"> </w:t>
      </w:r>
      <w:r>
        <w:t xml:space="preserve">Both markets have seen insurers and advisory firms invest in data systems to support the BSC. In Malaysia, companies have adopted</w:t>
      </w:r>
      <w:r>
        <w:t xml:space="preserve"> </w:t>
      </w:r>
      <w:r>
        <w:rPr>
          <w:b/>
          <w:bCs/>
        </w:rPr>
        <w:t xml:space="preserve">Balanced Scorecard IT solutions</w:t>
      </w:r>
      <w:r>
        <w:t xml:space="preserve"> </w:t>
      </w:r>
      <w:r>
        <w:t xml:space="preserve">that automatically aggregate data from various sources (policy administration, compliance logs, training records). These systems generate</w:t>
      </w:r>
      <w:r>
        <w:t xml:space="preserve"> </w:t>
      </w:r>
      <w:r>
        <w:rPr>
          <w:b/>
          <w:bCs/>
        </w:rPr>
        <w:t xml:space="preserve">dashboards highlighting each agent’s performance on the BSC KPIs with the weighted score</w:t>
      </w:r>
      <w:r>
        <w:t xml:space="preserve"> </w:t>
      </w:r>
      <w:r>
        <w:t xml:space="preserve">as defined by the industry</w:t>
      </w:r>
      <w:hyperlink r:id="rId37">
        <w:r>
          <w:rPr>
            <w:rStyle w:val="Hyperlink"/>
          </w:rPr>
          <w:t xml:space="preserve">[15]</w:t>
        </w:r>
      </w:hyperlink>
      <w:r>
        <w:t xml:space="preserve">. For example, a dashboard may display an agent’s current score for persistency (weighted 30%), fact-find (15%), etc., updating as new data comes in (e.g., when a policy lapses or when an agent completes a training course). Such tools enable agency leaders to identify agents at risk of falling below standards and to provide coaching. According to industry sources, the rule engines within these solutions are built according to the</w:t>
      </w:r>
      <w:r>
        <w:t xml:space="preserve"> </w:t>
      </w:r>
      <w:r>
        <w:rPr>
          <w:b/>
          <w:bCs/>
        </w:rPr>
        <w:t xml:space="preserve">LIAM-MTA (Life Insurance Association of Malaysia – Malaysian Takaful Association) guidelines</w:t>
      </w:r>
      <w:r>
        <w:t xml:space="preserve">, ensuring consistency in scoring methodology across insurers</w:t>
      </w:r>
      <w:hyperlink r:id="rId43">
        <w:r>
          <w:rPr>
            <w:rStyle w:val="Hyperlink"/>
          </w:rPr>
          <w:t xml:space="preserve">[21]</w:t>
        </w:r>
      </w:hyperlink>
      <w:r>
        <w:t xml:space="preserve">. In Singapore, large financial advisory firms have also implemented systems for the Balanced Scorecard. The Independent Sales Audit Unit uses software to randomly select a sample of transactions and to log findings from each case review. The data (such as number of infractions of each type per rep) feeds into a centralized BSC scoring program that calculates the grade and corresponding payable commission for each rep every quarter. Many firms have internal portals where advisers can view their own compliance metrics and BSC results. These might show, for instance, a pie chart of infraction categories or trendlines of the adviser’s grades over time. MAS’s expectations around record-keeping and audit trails have pushed firms to maintain detailed databases of advisory activities. In summary, robust</w:t>
      </w:r>
      <w:r>
        <w:t xml:space="preserve"> </w:t>
      </w:r>
      <w:r>
        <w:rPr>
          <w:b/>
          <w:bCs/>
        </w:rPr>
        <w:t xml:space="preserve">data analytics capabilities are now essential</w:t>
      </w:r>
      <w:r>
        <w:t xml:space="preserve">: insurers and advisory firms must collate data from customer fact-finds, policy persistency reports, complaint registers, call recordings, and training attendance logs to measure each KPI. Agents, in turn, leverage this data – they might use personal trackers or get reports from their managers – to ensure they stay on target (for example, knowing they are at 85% persistency and needing improvement before year-end to hit the 90% goal). The Balanced Scorecard has effectively introduced a more</w:t>
      </w:r>
      <w:r>
        <w:t xml:space="preserve"> </w:t>
      </w:r>
      <w:r>
        <w:rPr>
          <w:b/>
          <w:bCs/>
        </w:rPr>
        <w:t xml:space="preserve">quantitative performance management culture</w:t>
      </w:r>
      <w:r>
        <w:t xml:space="preserve"> </w:t>
      </w:r>
      <w:r>
        <w:t xml:space="preserve">in insurance sales, where both sales and non-sales metrics are continuously monitored.</w:t>
      </w:r>
    </w:p>
    <w:p>
      <w:pPr>
        <w:numPr>
          <w:ilvl w:val="0"/>
          <w:numId w:val="1005"/>
        </w:numPr>
      </w:pPr>
      <w:r>
        <w:rPr>
          <w:b/>
          <w:bCs/>
        </w:rPr>
        <w:t xml:space="preserve">Feedback and Coaching:</w:t>
      </w:r>
      <w:r>
        <w:t xml:space="preserve"> </w:t>
      </w:r>
      <w:r>
        <w:t xml:space="preserve">The analytics from BSC metrics are also used to provide feedback and guide agent development. In Malaysia, if an agent’s persistency or customer service metrics lag behind peers, the insurer’s management might step in to help – e.g., providing additional training on customer retention or organizing mentorship from high-persistency agents. Some insurers have incorporated BSC metrics into their regular agency meetings: an agent’s scorecard might be discussed in performance reviews just as their sales figures are. In Singapore, the quarterly BSC results facilitate a feedback loop every three months. Reps who lost part of their commission due to infractions are often counseled by compliance or supervisors. For instance, if an adviser’s grade dropped because of inadequate disclosures, the firm might require them to attend a refresher workshop on compliance or increase the supervision on their next few sales. On the flip side, data analytics can identify positive outliers – agents with exemplary BSC records (no complaints, perfect audit scores) – who can be recognized and perhaps tapped to share best practices. MAS and BNM ultimately expect that the</w:t>
      </w:r>
      <w:r>
        <w:t xml:space="preserve"> </w:t>
      </w:r>
      <w:r>
        <w:rPr>
          <w:b/>
          <w:bCs/>
        </w:rPr>
        <w:t xml:space="preserve">Balanced Scorecard will not just be a punitive tool but a developmental one</w:t>
      </w:r>
      <w:r>
        <w:t xml:space="preserve">, raising the overall standard of advice. The continuous monitoring via analytics ensures that agents are aware of their performance in near real-time and can adjust course before serious issues arise.</w:t>
      </w:r>
    </w:p>
    <w:bookmarkEnd w:id="68"/>
    <w:bookmarkStart w:id="71" w:name="comparative-analysis-and-conclusion"/>
    <w:p>
      <w:pPr>
        <w:pStyle w:val="Heading2"/>
      </w:pPr>
      <w:r>
        <w:t xml:space="preserve">Comparative Analysis and Conclusion</w:t>
      </w:r>
    </w:p>
    <w:p>
      <w:pPr>
        <w:pStyle w:val="FirstParagraph"/>
      </w:pPr>
      <w:r>
        <w:t xml:space="preserve">In both Malaysia and Singapore, the Balanced Scorecard frameworks represent a paradigm shift in regulating insurance intermediaries – from a narrow focus on sales volume to a more holistic evaluation of</w:t>
      </w:r>
      <w:r>
        <w:t xml:space="preserve"> </w:t>
      </w:r>
      <w:r>
        <w:rPr>
          <w:b/>
          <w:bCs/>
        </w:rPr>
        <w:t xml:space="preserve">quality, compliance, and customer outcomes</w:t>
      </w:r>
      <w:r>
        <w:t xml:space="preserve">. The core philosophy is shared:</w:t>
      </w:r>
      <w:r>
        <w:t xml:space="preserve"> </w:t>
      </w:r>
      <w:r>
        <w:rPr>
          <w:b/>
          <w:bCs/>
        </w:rPr>
        <w:t xml:space="preserve">aligning agents’ incentives with the long-term interests of customers</w:t>
      </w:r>
      <w:r>
        <w:t xml:space="preserve">. However, the implementation nuances differ, reflecting each country’s regulatory priorities:</w:t>
      </w:r>
    </w:p>
    <w:p>
      <w:pPr>
        <w:numPr>
          <w:ilvl w:val="0"/>
          <w:numId w:val="1006"/>
        </w:numPr>
      </w:pPr>
      <w:r>
        <w:rPr>
          <w:b/>
          <w:bCs/>
        </w:rPr>
        <w:t xml:space="preserve">Regulatory Scope and Emphasis:</w:t>
      </w:r>
      <w:r>
        <w:t xml:space="preserve"> </w:t>
      </w:r>
      <w:r>
        <w:t xml:space="preserve">Malaysia’s BSC (born out of BNM’s LIFE Framework) is part of a broader package to professionalize the industry and liberalize commission limits responsibly. It explicitly includes metrics like persistency and CPD that tie the agent’s success to ongoing client welfare and self-improvement</w:t>
      </w:r>
      <w:hyperlink r:id="rId43">
        <w:r>
          <w:rPr>
            <w:rStyle w:val="Hyperlink"/>
          </w:rPr>
          <w:t xml:space="preserve">[21]</w:t>
        </w:r>
      </w:hyperlink>
      <w:r>
        <w:t xml:space="preserve">. Singapore’s BSC, developed from the FAIR initiatives, is tightly focused on</w:t>
      </w:r>
      <w:r>
        <w:t xml:space="preserve"> </w:t>
      </w:r>
      <w:r>
        <w:rPr>
          <w:b/>
          <w:bCs/>
        </w:rPr>
        <w:t xml:space="preserve">point-of-sale conduct and ethics</w:t>
      </w:r>
      <w:r>
        <w:t xml:space="preserve">, integrating with a rigorous compliance audit regime</w:t>
      </w:r>
      <w:hyperlink r:id="rId31">
        <w:r>
          <w:rPr>
            <w:rStyle w:val="Hyperlink"/>
          </w:rPr>
          <w:t xml:space="preserve">[10]</w:t>
        </w:r>
      </w:hyperlink>
      <w:r>
        <w:t xml:space="preserve">. Persistency and training are handled via other rules, whereas the BSC zeroes in on fair dealing during sales. Both approaches are effective in different ways – Malaysia’s covers the</w:t>
      </w:r>
      <w:r>
        <w:t xml:space="preserve"> </w:t>
      </w:r>
      <w:r>
        <w:rPr>
          <w:b/>
          <w:bCs/>
        </w:rPr>
        <w:t xml:space="preserve">full client lifecycle (sale and post-sale)</w:t>
      </w:r>
      <w:r>
        <w:t xml:space="preserve"> </w:t>
      </w:r>
      <w:r>
        <w:t xml:space="preserve">more explicitly, while Singapore’s drills deeply into</w:t>
      </w:r>
      <w:r>
        <w:t xml:space="preserve"> </w:t>
      </w:r>
      <w:r>
        <w:rPr>
          <w:b/>
          <w:bCs/>
        </w:rPr>
        <w:t xml:space="preserve">sales process integrity</w:t>
      </w:r>
      <w:r>
        <w:t xml:space="preserve">.</w:t>
      </w:r>
    </w:p>
    <w:p>
      <w:pPr>
        <w:numPr>
          <w:ilvl w:val="0"/>
          <w:numId w:val="1006"/>
        </w:numPr>
      </w:pPr>
      <w:r>
        <w:rPr>
          <w:b/>
          <w:bCs/>
        </w:rPr>
        <w:t xml:space="preserve">Mechanics of Enforcement:</w:t>
      </w:r>
      <w:r>
        <w:t xml:space="preserve"> </w:t>
      </w:r>
      <w:r>
        <w:t xml:space="preserve">In Malaysia, the BSC affects an agent’s</w:t>
      </w:r>
      <w:r>
        <w:t xml:space="preserve"> </w:t>
      </w:r>
      <w:r>
        <w:rPr>
          <w:b/>
          <w:bCs/>
        </w:rPr>
        <w:t xml:space="preserve">annual income</w:t>
      </w:r>
      <w:r>
        <w:t xml:space="preserve"> </w:t>
      </w:r>
      <w:r>
        <w:t xml:space="preserve">(with 25% of commissions contingent on the year-end score)</w:t>
      </w:r>
      <w:hyperlink r:id="rId36">
        <w:r>
          <w:rPr>
            <w:rStyle w:val="Hyperlink"/>
          </w:rPr>
          <w:t xml:space="preserve">[14]</w:t>
        </w:r>
      </w:hyperlink>
      <w:r>
        <w:t xml:space="preserve">. The yearly cycle allows agents some time to improve if mid-year metrics are weak, but it also means any lapses throughout the year accumulate. Singapore enforces discipline more immediately with</w:t>
      </w:r>
      <w:r>
        <w:t xml:space="preserve"> </w:t>
      </w:r>
      <w:r>
        <w:rPr>
          <w:b/>
          <w:bCs/>
        </w:rPr>
        <w:t xml:space="preserve">quarterly assessments and payouts</w:t>
      </w:r>
      <w:hyperlink r:id="rId55">
        <w:r>
          <w:rPr>
            <w:rStyle w:val="Hyperlink"/>
          </w:rPr>
          <w:t xml:space="preserve">[33]</w:t>
        </w:r>
      </w:hyperlink>
      <w:r>
        <w:t xml:space="preserve">, leading to quicker feedback – a rep who faltered in Q1 can see an impact on pay by Q2 and hopefully correct by Q3. Additionally, MAS’s use of independent audits and mystery shopping as formal inputs to the scorecard is more intensive than Malaysia’s approach which relies on outcome metrics and internal reporting. Singapore also directly ties supervisors’ performance to their teams’ conduct, an accountability mechanism that is implied but not as direct in Malaysia’s agent-focused model</w:t>
      </w:r>
      <w:hyperlink r:id="rId58">
        <w:r>
          <w:rPr>
            <w:rStyle w:val="Hyperlink"/>
          </w:rPr>
          <w:t xml:space="preserve">[36]</w:t>
        </w:r>
      </w:hyperlink>
      <w:r>
        <w:t xml:space="preserve">.</w:t>
      </w:r>
    </w:p>
    <w:p>
      <w:pPr>
        <w:numPr>
          <w:ilvl w:val="0"/>
          <w:numId w:val="1006"/>
        </w:numPr>
      </w:pPr>
      <w:r>
        <w:rPr>
          <w:b/>
          <w:bCs/>
        </w:rPr>
        <w:t xml:space="preserve">Industry Impact:</w:t>
      </w:r>
      <w:r>
        <w:t xml:space="preserve"> </w:t>
      </w:r>
      <w:r>
        <w:t xml:space="preserve">In Malaysia, anecdotal evidence and industry reports suggest the BSC has begun to</w:t>
      </w:r>
      <w:r>
        <w:t xml:space="preserve"> </w:t>
      </w:r>
      <w:r>
        <w:rPr>
          <w:b/>
          <w:bCs/>
        </w:rPr>
        <w:t xml:space="preserve">drive cultural change</w:t>
      </w:r>
      <w:r>
        <w:t xml:space="preserve"> </w:t>
      </w:r>
      <w:r>
        <w:t xml:space="preserve">– agents are taking compliance more seriously and there’s an increased emphasis on customer service and retention. The industry’s willingness to let commission limits relax (e.g., higher pay for pure protection products, etc.) rests on the trust that BSC will keep agents selling responsibly</w:t>
      </w:r>
      <w:hyperlink r:id="rId69">
        <w:r>
          <w:rPr>
            <w:rStyle w:val="Hyperlink"/>
          </w:rPr>
          <w:t xml:space="preserve">[42]</w:t>
        </w:r>
      </w:hyperlink>
      <w:r>
        <w:t xml:space="preserve">. In Singapore, the BSC was one pillar of a comprehensive reform; combined with other FAIR measures, it has raised professional standards among financial advisers. There has been a notable drop in certain malpractices, and firms have beefed up their compliance infrastructure to avoid MAS sanctions. The Balanced Scorecard also inadvertently created a</w:t>
      </w:r>
      <w:r>
        <w:t xml:space="preserve"> </w:t>
      </w:r>
      <w:r>
        <w:rPr>
          <w:b/>
          <w:bCs/>
        </w:rPr>
        <w:t xml:space="preserve">demand for better data management and training</w:t>
      </w:r>
      <w:r>
        <w:t xml:space="preserve"> </w:t>
      </w:r>
      <w:r>
        <w:t xml:space="preserve">– both markets see insurers investing in systems to track KPIs and in training programs to help agents meet those KPIs. This is a long-term positive outcome: sales quality is now a measurable, manageable aspect of the business, not just an abstract ideal.</w:t>
      </w:r>
    </w:p>
    <w:p>
      <w:pPr>
        <w:pStyle w:val="FirstParagraph"/>
      </w:pPr>
      <w:r>
        <w:t xml:space="preserve">In conclusion, Malaysia’s and Singapore’s Balanced Scorecard systems, while tailored to their local contexts, both exemplify a progressive regulatory philosophy:</w:t>
      </w:r>
      <w:r>
        <w:t xml:space="preserve"> </w:t>
      </w:r>
      <w:r>
        <w:rPr>
          <w:b/>
          <w:bCs/>
        </w:rPr>
        <w:t xml:space="preserve">measuring what truly matters to consumers (appropriate advice, service quality, persistency, and ethical conduct) and making those measures count</w:t>
      </w:r>
      <w:r>
        <w:t xml:space="preserve"> </w:t>
      </w:r>
      <w:r>
        <w:t xml:space="preserve">in the compensation and career progression of agents. As of 2025, each country continues to refine these frameworks – BNM integrating BSC requirements into comprehensive conduct guidelines, and MAS updating the BSC and related audit processes for greater efficacy</w:t>
      </w:r>
      <w:hyperlink r:id="rId38">
        <w:r>
          <w:rPr>
            <w:rStyle w:val="Hyperlink"/>
          </w:rPr>
          <w:t xml:space="preserve">[16]</w:t>
        </w:r>
      </w:hyperlink>
      <w:r>
        <w:t xml:space="preserve">. The comparative lesson from both is clear: a well-designed balanced scorecard, backed by regulatory enforcement, can be a powerful tool to align the behavior of insurance intermediaries with the best interests of the public. Both regulators and industry players are closely watching these systems, and the coming years will show how they further evolve to improve consumer outcomes in the insurance sector.</w:t>
      </w:r>
    </w:p>
    <w:p>
      <w:pPr>
        <w:pStyle w:val="BodyText"/>
      </w:pPr>
      <w:r>
        <w:rPr>
          <w:b/>
          <w:bCs/>
        </w:rPr>
        <w:t xml:space="preserve">Sources:</w:t>
      </w:r>
      <w:r>
        <w:t xml:space="preserve"> </w:t>
      </w:r>
      <w:r>
        <w:t xml:space="preserve">Official regulatory releases and guidelines by BNM and MAS, industry analyses, and news reports have been used to compile this comparative research. Key references include BNM’s LIFE Framework and Operating Cost Control policy</w:t>
      </w:r>
      <w:hyperlink r:id="rId43">
        <w:r>
          <w:rPr>
            <w:rStyle w:val="Hyperlink"/>
          </w:rPr>
          <w:t xml:space="preserve">[21]</w:t>
        </w:r>
      </w:hyperlink>
      <w:hyperlink r:id="rId36">
        <w:r>
          <w:rPr>
            <w:rStyle w:val="Hyperlink"/>
          </w:rPr>
          <w:t xml:space="preserve">[14]</w:t>
        </w:r>
      </w:hyperlink>
      <w:r>
        <w:t xml:space="preserve">, MAS’s FAA-N20 Balanced Scorecard requirements as summarized in compliance bulletins</w:t>
      </w:r>
      <w:hyperlink r:id="rId70">
        <w:r>
          <w:rPr>
            <w:rStyle w:val="Hyperlink"/>
          </w:rPr>
          <w:t xml:space="preserve">[43]</w:t>
        </w:r>
      </w:hyperlink>
      <w:hyperlink r:id="rId58">
        <w:r>
          <w:rPr>
            <w:rStyle w:val="Hyperlink"/>
          </w:rPr>
          <w:t xml:space="preserve">[36]</w:t>
        </w:r>
      </w:hyperlink>
      <w:r>
        <w:t xml:space="preserve">, as well as commentary from life insurance associations and reputable publications</w:t>
      </w:r>
      <w:hyperlink r:id="rId34">
        <w:r>
          <w:rPr>
            <w:rStyle w:val="Hyperlink"/>
          </w:rPr>
          <w:t xml:space="preserve">[12]</w:t>
        </w:r>
      </w:hyperlink>
      <w:hyperlink r:id="rId32">
        <w:r>
          <w:rPr>
            <w:rStyle w:val="Hyperlink"/>
          </w:rPr>
          <w:t xml:space="preserve">[11]</w:t>
        </w:r>
      </w:hyperlink>
      <w:r>
        <w:t xml:space="preserve">. These sources provide insight into the objectives, rules, and on-the-ground effects of the balanced scorecard frameworks in Malaysia and Singapore.</w:t>
      </w:r>
    </w:p>
    <w:bookmarkEnd w:id="71"/>
    <w:bookmarkEnd w:id="72"/>
    <w:bookmarkEnd w:id="73"/>
    <w:p>
      <w:r>
        <w:pict>
          <v:rect style="width:0;height:1.5pt" o:hralign="center" o:hrstd="t" o:hr="t"/>
        </w:pict>
      </w:r>
    </w:p>
    <w:bookmarkStart w:id="84" w:name="citations"/>
    <w:p>
      <w:pPr>
        <w:pStyle w:val="FirstParagraph"/>
      </w:pPr>
      <w:hyperlink r:id="rId22">
        <w:r>
          <w:rPr>
            <w:rStyle w:val="Hyperlink"/>
          </w:rPr>
          <w:t xml:space="preserve">[1]</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r>
        <w:t xml:space="preserve">Balanced Scorecard in Insurance | PDF | Insurance | Financial Adviser</w:t>
      </w:r>
    </w:p>
    <w:p>
      <w:pPr>
        <w:pStyle w:val="BodyText"/>
      </w:pPr>
      <w:hyperlink r:id="rId74">
        <w:r>
          <w:rPr>
            <w:rStyle w:val="Hyperlink"/>
          </w:rPr>
          <w:t xml:space="preserve">https://www.scribd.com/document/676619511/Balanced-Score-Card-for-Insurance-MyPF-my</w:t>
        </w:r>
      </w:hyperlink>
    </w:p>
    <w:p>
      <w:pPr>
        <w:pStyle w:val="BodyText"/>
      </w:pPr>
      <w:hyperlink r:id="rId23">
        <w:r>
          <w:rPr>
            <w:rStyle w:val="Hyperlink"/>
          </w:rPr>
          <w:t xml:space="preserve">[2]</w:t>
        </w:r>
      </w:hyperlink>
      <w:r>
        <w:t xml:space="preserve"> </w:t>
      </w:r>
      <w:hyperlink r:id="rId27">
        <w:r>
          <w:rPr>
            <w:rStyle w:val="Hyperlink"/>
          </w:rPr>
          <w:t xml:space="preserve">[6]</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36">
        <w:r>
          <w:rPr>
            <w:rStyle w:val="Hyperlink"/>
          </w:rPr>
          <w:t xml:space="preserve">[27]</w:t>
        </w:r>
      </w:hyperlink>
      <w:r>
        <w:t xml:space="preserve"> </w:t>
      </w:r>
      <w:hyperlink r:id="rId69">
        <w:r>
          <w:rPr>
            <w:rStyle w:val="Hyperlink"/>
          </w:rPr>
          <w:t xml:space="preserve">[42]</w:t>
        </w:r>
      </w:hyperlink>
      <w:r>
        <w:t xml:space="preserve"> </w:t>
      </w:r>
      <w:r>
        <w:t xml:space="preserve">Exposure Draft Guidelines on Operating Cost Controls for Life Insurance and Family Takaful Business - Lexology</w:t>
      </w:r>
    </w:p>
    <w:p>
      <w:pPr>
        <w:pStyle w:val="BodyText"/>
      </w:pPr>
      <w:hyperlink r:id="rId75">
        <w:r>
          <w:rPr>
            <w:rStyle w:val="Hyperlink"/>
          </w:rPr>
          <w:t xml:space="preserve">https://www.lexology.com/library/detail.aspx?g=00514751-ac0b-4e4a-9279-e8eec271cff4</w:t>
        </w:r>
      </w:hyperlink>
    </w:p>
    <w:p>
      <w:pPr>
        <w:pStyle w:val="BodyText"/>
      </w:pPr>
      <w:hyperlink r:id="rId28">
        <w:r>
          <w:rPr>
            <w:rStyle w:val="Hyperlink"/>
          </w:rPr>
          <w:t xml:space="preserve">[7]</w:t>
        </w:r>
      </w:hyperlink>
      <w:r>
        <w:t xml:space="preserve"> </w:t>
      </w:r>
      <w:r>
        <w:t xml:space="preserve">Singapore Regulator Sets Out How Financial Advisors Can Raise Their Game</w:t>
      </w:r>
      <w:r>
        <w:t xml:space="preserve"> </w:t>
      </w:r>
    </w:p>
    <w:p>
      <w:pPr>
        <w:pStyle w:val="BodyText"/>
      </w:pPr>
      <w:hyperlink r:id="rId76">
        <w:r>
          <w:rPr>
            <w:rStyle w:val="Hyperlink"/>
          </w:rPr>
          <w:t xml:space="preserve">https://wealthbriefingasia.com/article.php?id=53182&amp;page=1</w:t>
        </w:r>
      </w:hyperlink>
    </w:p>
    <w:p>
      <w:pPr>
        <w:pStyle w:val="BodyText"/>
      </w:pPr>
      <w:hyperlink r:id="rId29">
        <w:r>
          <w:rPr>
            <w:rStyle w:val="Hyperlink"/>
          </w:rPr>
          <w:t xml:space="preserve">[8]</w:t>
        </w:r>
      </w:hyperlink>
      <w:r>
        <w:t xml:space="preserve"> </w:t>
      </w:r>
      <w:r>
        <w:t xml:space="preserve">MAS Announces New Regulatory Measures for Financial Advisors - Waystone Compliance</w:t>
      </w:r>
    </w:p>
    <w:p>
      <w:pPr>
        <w:pStyle w:val="BodyText"/>
      </w:pPr>
      <w:hyperlink r:id="rId77">
        <w:r>
          <w:rPr>
            <w:rStyle w:val="Hyperlink"/>
          </w:rPr>
          <w:t xml:space="preserve">https://compliance.waystone.com/mas-announces-new-regulatory-measures-for-financial-advisors/</w:t>
        </w:r>
      </w:hyperlink>
    </w:p>
    <w:p>
      <w:pPr>
        <w:pStyle w:val="BodyText"/>
      </w:pPr>
      <w:hyperlink r:id="rId30">
        <w:r>
          <w:rPr>
            <w:rStyle w:val="Hyperlink"/>
          </w:rPr>
          <w:t xml:space="preserve">[9]</w:t>
        </w:r>
      </w:hyperlink>
      <w:r>
        <w:t xml:space="preserve"> </w:t>
      </w:r>
      <w:hyperlink r:id="rId32">
        <w:r>
          <w:rPr>
            <w:rStyle w:val="Hyperlink"/>
          </w:rPr>
          <w:t xml:space="preserve">[11]</w:t>
        </w:r>
      </w:hyperlink>
      <w:r>
        <w:t xml:space="preserve"> </w:t>
      </w:r>
      <w:hyperlink r:id="rId63">
        <w:r>
          <w:rPr>
            <w:rStyle w:val="Hyperlink"/>
          </w:rPr>
          <w:t xml:space="preserve">[38]</w:t>
        </w:r>
      </w:hyperlink>
      <w:r>
        <w:t xml:space="preserve"> </w:t>
      </w:r>
      <w:r>
        <w:t xml:space="preserve"> </w:t>
      </w:r>
      <w:r>
        <w:t xml:space="preserve">Singapore: Regulator reprimands financial advisers for breaches of requirements</w:t>
      </w:r>
      <w:r>
        <w:t xml:space="preserve"> </w:t>
      </w:r>
    </w:p>
    <w:p>
      <w:pPr>
        <w:pStyle w:val="BodyText"/>
      </w:pPr>
      <w:hyperlink r:id="rId78">
        <w:r>
          <w:rPr>
            <w:rStyle w:val="Hyperlink"/>
          </w:rPr>
          <w:t xml:space="preserve">https://www.asiaadvisersnetwork.com/article/aid/76908/Singapore-Regulator-reprimands-financial-advisers-for-breaches-of-requirements</w:t>
        </w:r>
      </w:hyperlink>
    </w:p>
    <w:p>
      <w:pPr>
        <w:pStyle w:val="BodyText"/>
      </w:pPr>
      <w:hyperlink r:id="rId31">
        <w:r>
          <w:rPr>
            <w:rStyle w:val="Hyperlink"/>
          </w:rPr>
          <w:t xml:space="preserve">[10]</w:t>
        </w:r>
      </w:hyperlink>
      <w:r>
        <w:t xml:space="preserve"> </w:t>
      </w:r>
      <w:hyperlink r:id="rId41">
        <w:r>
          <w:rPr>
            <w:rStyle w:val="Hyperlink"/>
          </w:rPr>
          <w:t xml:space="preserve">[20]</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hyperlink r:id="rId66">
        <w:r>
          <w:rPr>
            <w:rStyle w:val="Hyperlink"/>
          </w:rPr>
          <w:t xml:space="preserve">[41]</w:t>
        </w:r>
      </w:hyperlink>
      <w:r>
        <w:t xml:space="preserve"> </w:t>
      </w:r>
      <w:hyperlink r:id="rId70">
        <w:r>
          <w:rPr>
            <w:rStyle w:val="Hyperlink"/>
          </w:rPr>
          <w:t xml:space="preserve">[43]</w:t>
        </w:r>
      </w:hyperlink>
      <w:r>
        <w:t xml:space="preserve"> </w:t>
      </w:r>
      <w:r>
        <w:t xml:space="preserve">MAS Issues Composition Against Singlife Financial Advisers Pte Ltd and Takes Regulatory Action Against Eight Individuals - Asian Wealth Management and Asian Private Banking</w:t>
      </w:r>
    </w:p>
    <w:p>
      <w:pPr>
        <w:pStyle w:val="BodyText"/>
      </w:pPr>
      <w:hyperlink r:id="rId79">
        <w:r>
          <w:rPr>
            <w:rStyle w:val="Hyperlink"/>
          </w:rPr>
          <w:t xml:space="preserve">https://www.hubbis.com/news/mas-issues-composition-against-singlife-financial-advisers-pte-ltd-and-takes-regulatory-action-against-eight-individuals</w:t>
        </w:r>
      </w:hyperlink>
    </w:p>
    <w:p>
      <w:pPr>
        <w:pStyle w:val="BodyText"/>
      </w:pPr>
      <w:hyperlink r:id="rId34">
        <w:r>
          <w:rPr>
            <w:rStyle w:val="Hyperlink"/>
          </w:rPr>
          <w:t xml:space="preserve">[12]</w:t>
        </w:r>
      </w:hyperlink>
      <w:r>
        <w:t xml:space="preserve"> </w:t>
      </w:r>
      <w:r>
        <w:t xml:space="preserve"> </w:t>
      </w:r>
      <w:r>
        <w:t xml:space="preserve">Malaysia: New business premiums for life market up 3.8% y-o-y to MYR10.1 bln</w:t>
      </w:r>
      <w:r>
        <w:t xml:space="preserve"> </w:t>
      </w:r>
    </w:p>
    <w:p>
      <w:pPr>
        <w:pStyle w:val="BodyText"/>
      </w:pPr>
      <w:hyperlink r:id="rId80">
        <w:r>
          <w:rPr>
            <w:rStyle w:val="Hyperlink"/>
          </w:rPr>
          <w:t xml:space="preserve">https://www.asiaadvisersnetwork.com/Article?aid=41700</w:t>
        </w:r>
      </w:hyperlink>
    </w:p>
    <w:p>
      <w:pPr>
        <w:pStyle w:val="BodyText"/>
      </w:pPr>
      <w:hyperlink r:id="rId35">
        <w:r>
          <w:rPr>
            <w:rStyle w:val="Hyperlink"/>
          </w:rPr>
          <w:t xml:space="preserve">[13]</w:t>
        </w:r>
      </w:hyperlink>
      <w:r>
        <w:t xml:space="preserve"> </w:t>
      </w:r>
      <w:r>
        <w:t xml:space="preserve"> </w:t>
      </w:r>
      <w:r>
        <w:t xml:space="preserve">Skrine - Advocates &amp; Solicitors</w:t>
      </w:r>
      <w:r>
        <w:t xml:space="preserve"> </w:t>
      </w:r>
    </w:p>
    <w:p>
      <w:pPr>
        <w:pStyle w:val="BodyText"/>
      </w:pPr>
      <w:hyperlink r:id="rId81">
        <w:r>
          <w:rPr>
            <w:rStyle w:val="Hyperlink"/>
          </w:rPr>
          <w:t xml:space="preserve">https://www.skrine.com/insights/alerts/september-2025/bank-negara-issues-policy-document-on-prudent-and</w:t>
        </w:r>
      </w:hyperlink>
    </w:p>
    <w:p>
      <w:pPr>
        <w:pStyle w:val="BodyText"/>
      </w:pP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39">
        <w:r>
          <w:rPr>
            <w:rStyle w:val="Hyperlink"/>
          </w:rPr>
          <w:t xml:space="preserve">[19]</w:t>
        </w:r>
      </w:hyperlink>
      <w:r>
        <w:t xml:space="preserve"> </w:t>
      </w:r>
      <w:hyperlink r:id="rId64">
        <w:r>
          <w:rPr>
            <w:rStyle w:val="Hyperlink"/>
          </w:rPr>
          <w:t xml:space="preserve">[39]</w:t>
        </w:r>
      </w:hyperlink>
      <w:r>
        <w:t xml:space="preserve"> </w:t>
      </w:r>
      <w:hyperlink r:id="rId65">
        <w:r>
          <w:rPr>
            <w:rStyle w:val="Hyperlink"/>
          </w:rPr>
          <w:t xml:space="preserve">[40]</w:t>
        </w:r>
      </w:hyperlink>
      <w:r>
        <w:t xml:space="preserve"> </w:t>
      </w:r>
      <w:r>
        <w:t xml:space="preserve">MAS issues revised notices and guidelines to enhance pre- and post-transaction safeguards for retail clients: Allen &amp; Gledhill</w:t>
      </w:r>
    </w:p>
    <w:p>
      <w:pPr>
        <w:pStyle w:val="BodyText"/>
      </w:pPr>
      <w:hyperlink r:id="rId82">
        <w:r>
          <w:rPr>
            <w:rStyle w:val="Hyperlink"/>
          </w:rPr>
          <w:t xml:space="preserve">https://www.allenandgledhill.com/sg/publication/articles/30484/mas-issues-revised-notices-and-guidelines-to-enhance-pre-and-post-transaction-safeguards-for-retail-clients</w:t>
        </w:r>
      </w:hyperlink>
    </w:p>
    <w:p>
      <w:pPr>
        <w:pStyle w:val="BodyText"/>
      </w:pPr>
      <w:hyperlink r:id="rId61">
        <w:r>
          <w:rPr>
            <w:rStyle w:val="Hyperlink"/>
          </w:rPr>
          <w:t xml:space="preserve">[37]</w:t>
        </w:r>
      </w:hyperlink>
      <w:r>
        <w:t xml:space="preserve"> </w:t>
      </w:r>
      <w:r>
        <w:t xml:space="preserve">MAS gives examples of illegal sales tactics for the Balance Scorecard</w:t>
      </w:r>
    </w:p>
    <w:p>
      <w:pPr>
        <w:pStyle w:val="BodyText"/>
      </w:pPr>
      <w:hyperlink r:id="rId83">
        <w:r>
          <w:rPr>
            <w:rStyle w:val="Hyperlink"/>
          </w:rPr>
          <w:t xml:space="preserve">https://www.ifa.sg/mas-gives-examples-illegal-sales-tactics-balance-scorecard/</w:t>
        </w:r>
      </w:hyperlink>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7" Target="https://compliance.waystone.com/mas-announces-new-regulatory-measures-for-financial-advisors/" TargetMode="External" /><Relationship Type="http://schemas.openxmlformats.org/officeDocument/2006/relationships/hyperlink" Id="rId29" Target="https://compliance.waystone.com/mas-announces-new-regulatory-measures-for-financial-advisors/#:~:text=Background%20on%20the%20Balances%20Scorecard,Framework" TargetMode="External" /><Relationship Type="http://schemas.openxmlformats.org/officeDocument/2006/relationships/hyperlink" Id="rId76" Target="https://wealthbriefingasia.com/article.php?id=53182&amp;page=1" TargetMode="External" /><Relationship Type="http://schemas.openxmlformats.org/officeDocument/2006/relationships/hyperlink" Id="rId28" Target="https://wealthbriefingasia.com/article.php?id=53182&amp;page=1#:~:text=%C2%B7%C2%A0%C2%A0%C2%A0%C2%A0%C2%A0%C2%A0%C2%A0%C2%A0%20Providing%20details%20of%20how,be%20operationalised%20across%20the%20industry" TargetMode="External" /><Relationship Type="http://schemas.openxmlformats.org/officeDocument/2006/relationships/hyperlink" Id="rId82" Target="https://www.allenandgledhill.com/sg/publication/articles/30484/mas-issues-revised-notices-and-guidelines-to-enhance-pre-and-post-transaction-safeguards-for-retail-clients" TargetMode="External" /><Relationship Type="http://schemas.openxmlformats.org/officeDocument/2006/relationships/hyperlink" Id="rId38" Target="https://www.allenandgledhill.com/sg/publication/articles/30484/mas-issues-revised-notices-and-guidelines-to-enhance-pre-and-post-transaction-safeguards-for-retail-clients#:~:text=%2A%20Notice%20FAA,N16%E2%80%9D" TargetMode="External" /><Relationship Type="http://schemas.openxmlformats.org/officeDocument/2006/relationships/hyperlink" Id="rId64" Target="https://www.allenandgledhill.com/sg/publication/articles/30484/mas-issues-revised-notices-and-guidelines-to-enhance-pre-and-post-transaction-safeguards-for-retail-clients#:~:text=%2A%20introduce%20requirements%20on%20pre,N16" TargetMode="External" /><Relationship Type="http://schemas.openxmlformats.org/officeDocument/2006/relationships/hyperlink" Id="rId65" Target="https://www.allenandgledhill.com/sg/publication/articles/30484/mas-issues-revised-notices-and-guidelines-to-enhance-pre-and-post-transaction-safeguards-for-retail-clients#:~:text=,back%3B%20and" TargetMode="External" /><Relationship Type="http://schemas.openxmlformats.org/officeDocument/2006/relationships/hyperlink" Id="rId39" Target="https://www.allenandgledhill.com/sg/publication/articles/30484/mas-issues-revised-notices-and-guidelines-to-enhance-pre-and-post-transaction-safeguards-for-retail-clients#:~:text=FAA" TargetMode="External" /><Relationship Type="http://schemas.openxmlformats.org/officeDocument/2006/relationships/hyperlink" Id="rId40" Target="https://www.allenandgledhill.com/sg/publication/articles/30484/mas-issues-revised-notices-and-guidelines-to-enhance-pre-and-post-transaction-safeguards-for-retail-clients#:~:text=MAS%20has%20updated%20the%20scope,N20" TargetMode="External" /><Relationship Type="http://schemas.openxmlformats.org/officeDocument/2006/relationships/hyperlink" Id="rId80" Target="https://www.asiaadvisersnetwork.com/Article?aid=41700" TargetMode="External" /><Relationship Type="http://schemas.openxmlformats.org/officeDocument/2006/relationships/hyperlink" Id="rId34" Target="https://www.asiaadvisersnetwork.com/Article?aid=41700#:~:text=Effective%20January%202018%2C%20the%20Balanced,life%20insurance%20experience%20for%20policyholders" TargetMode="External" /><Relationship Type="http://schemas.openxmlformats.org/officeDocument/2006/relationships/hyperlink" Id="rId78" Target="https://www.asiaadvisersnetwork.com/article/aid/76908/Singapore-Regulator-reprimands-financial-advisers-for-breaches-of-requirements" TargetMode="External" /><Relationship Type="http://schemas.openxmlformats.org/officeDocument/2006/relationships/hyperlink" Id="rId32" Target="https://www.asiaadvisersnetwork.com/article/aid/76908/Singapore-Regulator-reprimands-financial-advisers-for-breaches-of-requirements#:~:text=According%20to%20MAS%E2%80%99s%20investigations%2C%20there,of%20regular%20premium%20life%20policies" TargetMode="External" /><Relationship Type="http://schemas.openxmlformats.org/officeDocument/2006/relationships/hyperlink" Id="rId30" Target="https://www.asiaadvisersnetwork.com/article/aid/76908/Singapore-Regulator-reprimands-financial-advisers-for-breaches-of-requirements#:~:text=In%20a%20statement%2C%20MAS%20deputy,place%20their%20customers%E2%80%99%20interests%20first" TargetMode="External" /><Relationship Type="http://schemas.openxmlformats.org/officeDocument/2006/relationships/hyperlink" Id="rId63" Target="https://www.asiaadvisersnetwork.com/article/aid/76908/Singapore-Regulator-reprimands-financial-advisers-for-breaches-of-requirements#:~:text=remuneration%20was%20paid%20to%20supervisors,of%20regular%20premium%20life%20policies" TargetMode="External" /><Relationship Type="http://schemas.openxmlformats.org/officeDocument/2006/relationships/hyperlink" Id="rId79" Target="https://www.hubbis.com/news/mas-issues-composition-against-singlife-financial-advisers-pte-ltd-and-takes-regulatory-action-against-eight-individuals" TargetMode="External" /><Relationship Type="http://schemas.openxmlformats.org/officeDocument/2006/relationships/hyperlink" Id="rId41" Target="https://www.hubbis.com/news/mas-issues-composition-against-singlife-financial-advisers-pte-ltd-and-takes-regulatory-action-against-eight-individuals#:~:text=,BSC%20grading%20will%20determine%20the" TargetMode="External" /><Relationship Type="http://schemas.openxmlformats.org/officeDocument/2006/relationships/hyperlink" Id="rId70" Target="https://www.hubbis.com/news/mas-issues-composition-against-singlife-financial-advisers-pte-ltd-and-takes-regulatory-action-against-eight-individuals#:~:text=MAS%20requires%20financial%20advisory%20,BSC%20grading%20will%20determine%20the" TargetMode="External" /><Relationship Type="http://schemas.openxmlformats.org/officeDocument/2006/relationships/hyperlink" Id="rId50" Target="https://www.hubbis.com/news/mas-issues-composition-against-singlife-financial-advisers-pte-ltd-and-takes-regulatory-action-against-eight-individuals#:~:text=MAS%20requires%20financial%20advisory%20,Independent%20Sales%20Audit%20unit%2C%20mystery" TargetMode="External" /><Relationship Type="http://schemas.openxmlformats.org/officeDocument/2006/relationships/hyperlink" Id="rId52" Target="https://www.hubbis.com/news/mas-issues-composition-against-singlife-financial-advisers-pte-ltd-and-takes-regulatory-action-against-eight-individuals#:~:text=MAS%20requires%20financial%20advisory%20,severity%20of%20infractions%20uncovered%20from" TargetMode="External" /><Relationship Type="http://schemas.openxmlformats.org/officeDocument/2006/relationships/hyperlink" Id="rId58" Target="https://www.hubbis.com/news/mas-issues-composition-against-singlife-financial-advisers-pte-ltd-and-takes-regulatory-action-against-eight-individuals#:~:text=amount%20of%20variable%20remuneration%20that,sales" TargetMode="External" /><Relationship Type="http://schemas.openxmlformats.org/officeDocument/2006/relationships/hyperlink" Id="rId54" Target="https://www.hubbis.com/news/mas-issues-composition-against-singlife-financial-advisers-pte-ltd-and-takes-regulatory-action-against-eight-individuals#:~:text=disclosure%3B%20and%20,Conversely%2C%20a%20representative%20who%20is" TargetMode="External" /><Relationship Type="http://schemas.openxmlformats.org/officeDocument/2006/relationships/hyperlink" Id="rId55" Target="https://www.hubbis.com/news/mas-issues-composition-against-singlife-financial-advisers-pte-ltd-and-takes-regulatory-action-against-eight-individuals#:~:text=disclosure%3B%20and%20,will%20only%20be%20entitled%20to" TargetMode="External" /><Relationship Type="http://schemas.openxmlformats.org/officeDocument/2006/relationships/hyperlink" Id="rId56" Target="https://www.hubbis.com/news/mas-issues-composition-against-singlife-financial-advisers-pte-ltd-and-takes-regulatory-action-against-eight-individuals#:~:text=every%20quarter%20based%20on%20the,Conversely%2C%20a%20representative%20who%20is" TargetMode="External" /><Relationship Type="http://schemas.openxmlformats.org/officeDocument/2006/relationships/hyperlink" Id="rId66" Target="https://www.hubbis.com/news/mas-issues-composition-against-singlife-financial-advisers-pte-ltd-and-takes-regulatory-action-against-eight-individuals#:~:text=every%20quarter%20based%20on%20the,conduct%20and%20performance%20of%20their" TargetMode="External" /><Relationship Type="http://schemas.openxmlformats.org/officeDocument/2006/relationships/hyperlink" Id="rId31" Target="https://www.hubbis.com/news/mas-issues-composition-against-singlife-financial-advisers-pte-ltd-and-takes-regulatory-action-against-eight-individuals#:~:text=performance%20indicators%20,will%20be%20entitled%20to%20100" TargetMode="External" /><Relationship Type="http://schemas.openxmlformats.org/officeDocument/2006/relationships/hyperlink" Id="rId57" Target="https://www.hubbis.com/news/mas-issues-composition-against-singlife-financial-advisers-pte-ltd-and-takes-regulatory-action-against-eight-individuals#:~:text=shopping%20surveys%20and%20customer%20complaints,sales" TargetMode="External" /><Relationship Type="http://schemas.openxmlformats.org/officeDocument/2006/relationships/hyperlink" Id="rId53" Target="https://www.hubbis.com/news/mas-issues-composition-against-singlife-financial-advisers-pte-ltd-and-takes-regulatory-action-against-eight-individuals#:~:text=the%20BSC%20framework%2C%20representatives%20will,BSC%20grading%20will%20determine%20the" TargetMode="External" /><Relationship Type="http://schemas.openxmlformats.org/officeDocument/2006/relationships/hyperlink" Id="rId51" Target="https://www.hubbis.com/news/mas-issues-composition-against-singlife-financial-advisers-pte-ltd-and-takes-regulatory-action-against-eight-individuals#:~:text=the%20BSC%20framework%2C%20representatives%20will,professionalism%20and%20ethical%20conduct%20in" TargetMode="External" /><Relationship Type="http://schemas.openxmlformats.org/officeDocument/2006/relationships/hyperlink" Id="rId83" Target="https://www.ifa.sg/mas-gives-examples-illegal-sales-tactics-balance-scorecard/" TargetMode="External" /><Relationship Type="http://schemas.openxmlformats.org/officeDocument/2006/relationships/hyperlink" Id="rId61" Target="https://www.ifa.sg/mas-gives-examples-illegal-sales-tactics-balance-scorecard/#:~:text=MAS%20gives%20examples%20of%20illegal,subject%20to%20significant%20financial" TargetMode="External" /><Relationship Type="http://schemas.openxmlformats.org/officeDocument/2006/relationships/hyperlink" Id="rId75" Target="https://www.lexology.com/library/detail.aspx?g=00514751-ac0b-4e4a-9279-e8eec271cff4" TargetMode="External" /><Relationship Type="http://schemas.openxmlformats.org/officeDocument/2006/relationships/hyperlink" Id="rId44" Target="https://www.lexology.com/library/detail.aspx?g=00514751-ac0b-4e4a-9279-e8eec271cff4#:~:text=1,and%20professional%20conduct%20of%20intermediaries" TargetMode="External" /><Relationship Type="http://schemas.openxmlformats.org/officeDocument/2006/relationships/hyperlink" Id="rId23" Target="https://www.lexology.com/library/detail.aspx?g=00514751-ac0b-4e4a-9279-e8eec271cff4#:~:text=BNM%20intends%20to%20impose%20an,adviser%2C%20broker%20and%2For%20bancassurance%20partner" TargetMode="External" /><Relationship Type="http://schemas.openxmlformats.org/officeDocument/2006/relationships/hyperlink" Id="rId27" Target="https://www.lexology.com/library/detail.aspx?g=00514751-ac0b-4e4a-9279-e8eec271cff4#:~:text=The%20BSC%20Framework%20is%20intended,remuneration%20policy%20for%20intermediaries%20by" TargetMode="External" /><Relationship Type="http://schemas.openxmlformats.org/officeDocument/2006/relationships/hyperlink" Id="rId37" Target="https://www.lexology.com/library/detail.aspx?g=00514751-ac0b-4e4a-9279-e8eec271cff4#:~:text=The%20Exposure%20Draft%20prescribes%20certain,measuring%20the%20performance%20of%20agents" TargetMode="External" /><Relationship Type="http://schemas.openxmlformats.org/officeDocument/2006/relationships/hyperlink" Id="rId36" Target="https://www.lexology.com/library/detail.aspx?g=00514751-ac0b-4e4a-9279-e8eec271cff4#:~:text=The%20commissions%20payable%20to%20intermediaries,life%20insurer%20%2F%20takaful%20operator" TargetMode="External" /><Relationship Type="http://schemas.openxmlformats.org/officeDocument/2006/relationships/hyperlink" Id="rId43" Target="https://www.lexology.com/library/detail.aspx?g=00514751-ac0b-4e4a-9279-e8eec271cff4#:~:text=Under%20the%20Exposure%20Draft%2C%20the,takaful%20operator%E2%80%99s%20BSC%20Framework" TargetMode="External" /><Relationship Type="http://schemas.openxmlformats.org/officeDocument/2006/relationships/hyperlink" Id="rId69" Target="https://www.lexology.com/library/detail.aspx?g=00514751-ac0b-4e4a-9279-e8eec271cff4#:~:text=Under%20the%20Exposure%20Draft%2C%20with,the%20following%20conditions%20are%20fulfilled" TargetMode="External" /><Relationship Type="http://schemas.openxmlformats.org/officeDocument/2006/relationships/hyperlink" Id="rId74" Target="https://www.scribd.com/document/676619511/Balanced-Score-Card-for-Insurance-MyPF-my" TargetMode="External" /><Relationship Type="http://schemas.openxmlformats.org/officeDocument/2006/relationships/hyperlink" Id="rId45" Target="https://www.scribd.com/document/676619511/Balanced-Score-Card-for-Insurance-MyPF-my#:~:text=2%20Customer%20Fact%20Find%20,30" TargetMode="External" /><Relationship Type="http://schemas.openxmlformats.org/officeDocument/2006/relationships/hyperlink" Id="rId46" Target="https://www.scribd.com/document/676619511/Balanced-Score-Card-for-Insurance-MyPF-my#:~:text=3b%202nd%20Year%20Persistency%20Ratio,80" TargetMode="External" /><Relationship Type="http://schemas.openxmlformats.org/officeDocument/2006/relationships/hyperlink" Id="rId47" Target="https://www.scribd.com/document/676619511/Balanced-Score-Card-for-Insurance-MyPF-my#:~:text=4%20No%20Complaints%2010,0" TargetMode="External" /><Relationship Type="http://schemas.openxmlformats.org/officeDocument/2006/relationships/hyperlink" Id="rId26" Target="https://www.scribd.com/document/676619511/Balanced-Score-Card-for-Insurance-MyPF-my#:~:text=A%20mock%20run%20for%20BSC,end%20of%20every%20calendar%20year" TargetMode="External" /><Relationship Type="http://schemas.openxmlformats.org/officeDocument/2006/relationships/hyperlink" Id="rId25" Target="https://www.scribd.com/document/676619511/Balanced-Score-Card-for-Insurance-MyPF-my#:~:text=BSC%20captures%20non,basis%20for%20remunerating%20intermediaries%2C%20with" TargetMode="External" /><Relationship Type="http://schemas.openxmlformats.org/officeDocument/2006/relationships/hyperlink" Id="rId22" Target="https://www.scribd.com/document/676619511/Balanced-Score-Card-for-Insurance-MyPF-my#:~:text=Bank%20Negara%20Malaysia%20,effective%20from%20Jan%201%2C%202018" TargetMode="External" /><Relationship Type="http://schemas.openxmlformats.org/officeDocument/2006/relationships/hyperlink" Id="rId48" Target="https://www.scribd.com/document/676619511/Balanced-Score-Card-for-Insurance-MyPF-my#:~:text=Search%3A%20KPI%20No%20%EF%83%9C%20BSC,ANP" TargetMode="External" /><Relationship Type="http://schemas.openxmlformats.org/officeDocument/2006/relationships/hyperlink" Id="rId24" Target="https://www.scribd.com/document/676619511/Balanced-Score-Card-for-Insurance-MyPF-my#:~:text=Suitability%20of%20advice%20and%20recommendations,based%20on%20a%20consumer%E2%80%99s%20financial" TargetMode="External" /><Relationship Type="http://schemas.openxmlformats.org/officeDocument/2006/relationships/hyperlink" Id="rId81" Target="https://www.skrine.com/insights/alerts/september-2025/bank-negara-issues-policy-document-on-prudent-and" TargetMode="External" /><Relationship Type="http://schemas.openxmlformats.org/officeDocument/2006/relationships/hyperlink" Id="rId35" Target="https://www.skrine.com/insights/alerts/september-2025/bank-negara-issues-policy-document-on-prudent-and#:~:text=Balanced%20score%20card%20%E2%80%93%20an,19%20of%20the%20Policy%20Document" TargetMode="External" /></Relationships>
</file>

<file path=word/_rels/footnotes.xml.rels><?xml version="1.0" encoding="UTF-8"?><Relationships xmlns="http://schemas.openxmlformats.org/package/2006/relationships"><Relationship Type="http://schemas.openxmlformats.org/officeDocument/2006/relationships/hyperlink" Id="rId77" Target="https://compliance.waystone.com/mas-announces-new-regulatory-measures-for-financial-advisors/" TargetMode="External" /><Relationship Type="http://schemas.openxmlformats.org/officeDocument/2006/relationships/hyperlink" Id="rId29" Target="https://compliance.waystone.com/mas-announces-new-regulatory-measures-for-financial-advisors/#:~:text=Background%20on%20the%20Balances%20Scorecard,Framework" TargetMode="External" /><Relationship Type="http://schemas.openxmlformats.org/officeDocument/2006/relationships/hyperlink" Id="rId76" Target="https://wealthbriefingasia.com/article.php?id=53182&amp;page=1" TargetMode="External" /><Relationship Type="http://schemas.openxmlformats.org/officeDocument/2006/relationships/hyperlink" Id="rId28" Target="https://wealthbriefingasia.com/article.php?id=53182&amp;page=1#:~:text=%C2%B7%C2%A0%C2%A0%C2%A0%C2%A0%C2%A0%C2%A0%C2%A0%C2%A0%20Providing%20details%20of%20how,be%20operationalised%20across%20the%20industry" TargetMode="External" /><Relationship Type="http://schemas.openxmlformats.org/officeDocument/2006/relationships/hyperlink" Id="rId82" Target="https://www.allenandgledhill.com/sg/publication/articles/30484/mas-issues-revised-notices-and-guidelines-to-enhance-pre-and-post-transaction-safeguards-for-retail-clients" TargetMode="External" /><Relationship Type="http://schemas.openxmlformats.org/officeDocument/2006/relationships/hyperlink" Id="rId38" Target="https://www.allenandgledhill.com/sg/publication/articles/30484/mas-issues-revised-notices-and-guidelines-to-enhance-pre-and-post-transaction-safeguards-for-retail-clients#:~:text=%2A%20Notice%20FAA,N16%E2%80%9D" TargetMode="External" /><Relationship Type="http://schemas.openxmlformats.org/officeDocument/2006/relationships/hyperlink" Id="rId64" Target="https://www.allenandgledhill.com/sg/publication/articles/30484/mas-issues-revised-notices-and-guidelines-to-enhance-pre-and-post-transaction-safeguards-for-retail-clients#:~:text=%2A%20introduce%20requirements%20on%20pre,N16" TargetMode="External" /><Relationship Type="http://schemas.openxmlformats.org/officeDocument/2006/relationships/hyperlink" Id="rId65" Target="https://www.allenandgledhill.com/sg/publication/articles/30484/mas-issues-revised-notices-and-guidelines-to-enhance-pre-and-post-transaction-safeguards-for-retail-clients#:~:text=,back%3B%20and" TargetMode="External" /><Relationship Type="http://schemas.openxmlformats.org/officeDocument/2006/relationships/hyperlink" Id="rId39" Target="https://www.allenandgledhill.com/sg/publication/articles/30484/mas-issues-revised-notices-and-guidelines-to-enhance-pre-and-post-transaction-safeguards-for-retail-clients#:~:text=FAA" TargetMode="External" /><Relationship Type="http://schemas.openxmlformats.org/officeDocument/2006/relationships/hyperlink" Id="rId40" Target="https://www.allenandgledhill.com/sg/publication/articles/30484/mas-issues-revised-notices-and-guidelines-to-enhance-pre-and-post-transaction-safeguards-for-retail-clients#:~:text=MAS%20has%20updated%20the%20scope,N20" TargetMode="External" /><Relationship Type="http://schemas.openxmlformats.org/officeDocument/2006/relationships/hyperlink" Id="rId80" Target="https://www.asiaadvisersnetwork.com/Article?aid=41700" TargetMode="External" /><Relationship Type="http://schemas.openxmlformats.org/officeDocument/2006/relationships/hyperlink" Id="rId34" Target="https://www.asiaadvisersnetwork.com/Article?aid=41700#:~:text=Effective%20January%202018%2C%20the%20Balanced,life%20insurance%20experience%20for%20policyholders" TargetMode="External" /><Relationship Type="http://schemas.openxmlformats.org/officeDocument/2006/relationships/hyperlink" Id="rId78" Target="https://www.asiaadvisersnetwork.com/article/aid/76908/Singapore-Regulator-reprimands-financial-advisers-for-breaches-of-requirements" TargetMode="External" /><Relationship Type="http://schemas.openxmlformats.org/officeDocument/2006/relationships/hyperlink" Id="rId32" Target="https://www.asiaadvisersnetwork.com/article/aid/76908/Singapore-Regulator-reprimands-financial-advisers-for-breaches-of-requirements#:~:text=According%20to%20MAS%E2%80%99s%20investigations%2C%20there,of%20regular%20premium%20life%20policies" TargetMode="External" /><Relationship Type="http://schemas.openxmlformats.org/officeDocument/2006/relationships/hyperlink" Id="rId30" Target="https://www.asiaadvisersnetwork.com/article/aid/76908/Singapore-Regulator-reprimands-financial-advisers-for-breaches-of-requirements#:~:text=In%20a%20statement%2C%20MAS%20deputy,place%20their%20customers%E2%80%99%20interests%20first" TargetMode="External" /><Relationship Type="http://schemas.openxmlformats.org/officeDocument/2006/relationships/hyperlink" Id="rId63" Target="https://www.asiaadvisersnetwork.com/article/aid/76908/Singapore-Regulator-reprimands-financial-advisers-for-breaches-of-requirements#:~:text=remuneration%20was%20paid%20to%20supervisors,of%20regular%20premium%20life%20policies" TargetMode="External" /><Relationship Type="http://schemas.openxmlformats.org/officeDocument/2006/relationships/hyperlink" Id="rId79" Target="https://www.hubbis.com/news/mas-issues-composition-against-singlife-financial-advisers-pte-ltd-and-takes-regulatory-action-against-eight-individuals" TargetMode="External" /><Relationship Type="http://schemas.openxmlformats.org/officeDocument/2006/relationships/hyperlink" Id="rId41" Target="https://www.hubbis.com/news/mas-issues-composition-against-singlife-financial-advisers-pte-ltd-and-takes-regulatory-action-against-eight-individuals#:~:text=,BSC%20grading%20will%20determine%20the" TargetMode="External" /><Relationship Type="http://schemas.openxmlformats.org/officeDocument/2006/relationships/hyperlink" Id="rId70" Target="https://www.hubbis.com/news/mas-issues-composition-against-singlife-financial-advisers-pte-ltd-and-takes-regulatory-action-against-eight-individuals#:~:text=MAS%20requires%20financial%20advisory%20,BSC%20grading%20will%20determine%20the" TargetMode="External" /><Relationship Type="http://schemas.openxmlformats.org/officeDocument/2006/relationships/hyperlink" Id="rId50" Target="https://www.hubbis.com/news/mas-issues-composition-against-singlife-financial-advisers-pte-ltd-and-takes-regulatory-action-against-eight-individuals#:~:text=MAS%20requires%20financial%20advisory%20,Independent%20Sales%20Audit%20unit%2C%20mystery" TargetMode="External" /><Relationship Type="http://schemas.openxmlformats.org/officeDocument/2006/relationships/hyperlink" Id="rId52" Target="https://www.hubbis.com/news/mas-issues-composition-against-singlife-financial-advisers-pte-ltd-and-takes-regulatory-action-against-eight-individuals#:~:text=MAS%20requires%20financial%20advisory%20,severity%20of%20infractions%20uncovered%20from" TargetMode="External" /><Relationship Type="http://schemas.openxmlformats.org/officeDocument/2006/relationships/hyperlink" Id="rId58" Target="https://www.hubbis.com/news/mas-issues-composition-against-singlife-financial-advisers-pte-ltd-and-takes-regulatory-action-against-eight-individuals#:~:text=amount%20of%20variable%20remuneration%20that,sales" TargetMode="External" /><Relationship Type="http://schemas.openxmlformats.org/officeDocument/2006/relationships/hyperlink" Id="rId54" Target="https://www.hubbis.com/news/mas-issues-composition-against-singlife-financial-advisers-pte-ltd-and-takes-regulatory-action-against-eight-individuals#:~:text=disclosure%3B%20and%20,Conversely%2C%20a%20representative%20who%20is" TargetMode="External" /><Relationship Type="http://schemas.openxmlformats.org/officeDocument/2006/relationships/hyperlink" Id="rId55" Target="https://www.hubbis.com/news/mas-issues-composition-against-singlife-financial-advisers-pte-ltd-and-takes-regulatory-action-against-eight-individuals#:~:text=disclosure%3B%20and%20,will%20only%20be%20entitled%20to" TargetMode="External" /><Relationship Type="http://schemas.openxmlformats.org/officeDocument/2006/relationships/hyperlink" Id="rId56" Target="https://www.hubbis.com/news/mas-issues-composition-against-singlife-financial-advisers-pte-ltd-and-takes-regulatory-action-against-eight-individuals#:~:text=every%20quarter%20based%20on%20the,Conversely%2C%20a%20representative%20who%20is" TargetMode="External" /><Relationship Type="http://schemas.openxmlformats.org/officeDocument/2006/relationships/hyperlink" Id="rId66" Target="https://www.hubbis.com/news/mas-issues-composition-against-singlife-financial-advisers-pte-ltd-and-takes-regulatory-action-against-eight-individuals#:~:text=every%20quarter%20based%20on%20the,conduct%20and%20performance%20of%20their" TargetMode="External" /><Relationship Type="http://schemas.openxmlformats.org/officeDocument/2006/relationships/hyperlink" Id="rId31" Target="https://www.hubbis.com/news/mas-issues-composition-against-singlife-financial-advisers-pte-ltd-and-takes-regulatory-action-against-eight-individuals#:~:text=performance%20indicators%20,will%20be%20entitled%20to%20100" TargetMode="External" /><Relationship Type="http://schemas.openxmlformats.org/officeDocument/2006/relationships/hyperlink" Id="rId57" Target="https://www.hubbis.com/news/mas-issues-composition-against-singlife-financial-advisers-pte-ltd-and-takes-regulatory-action-against-eight-individuals#:~:text=shopping%20surveys%20and%20customer%20complaints,sales" TargetMode="External" /><Relationship Type="http://schemas.openxmlformats.org/officeDocument/2006/relationships/hyperlink" Id="rId53" Target="https://www.hubbis.com/news/mas-issues-composition-against-singlife-financial-advisers-pte-ltd-and-takes-regulatory-action-against-eight-individuals#:~:text=the%20BSC%20framework%2C%20representatives%20will,BSC%20grading%20will%20determine%20the" TargetMode="External" /><Relationship Type="http://schemas.openxmlformats.org/officeDocument/2006/relationships/hyperlink" Id="rId51" Target="https://www.hubbis.com/news/mas-issues-composition-against-singlife-financial-advisers-pte-ltd-and-takes-regulatory-action-against-eight-individuals#:~:text=the%20BSC%20framework%2C%20representatives%20will,professionalism%20and%20ethical%20conduct%20in" TargetMode="External" /><Relationship Type="http://schemas.openxmlformats.org/officeDocument/2006/relationships/hyperlink" Id="rId83" Target="https://www.ifa.sg/mas-gives-examples-illegal-sales-tactics-balance-scorecard/" TargetMode="External" /><Relationship Type="http://schemas.openxmlformats.org/officeDocument/2006/relationships/hyperlink" Id="rId61" Target="https://www.ifa.sg/mas-gives-examples-illegal-sales-tactics-balance-scorecard/#:~:text=MAS%20gives%20examples%20of%20illegal,subject%20to%20significant%20financial" TargetMode="External" /><Relationship Type="http://schemas.openxmlformats.org/officeDocument/2006/relationships/hyperlink" Id="rId75" Target="https://www.lexology.com/library/detail.aspx?g=00514751-ac0b-4e4a-9279-e8eec271cff4" TargetMode="External" /><Relationship Type="http://schemas.openxmlformats.org/officeDocument/2006/relationships/hyperlink" Id="rId44" Target="https://www.lexology.com/library/detail.aspx?g=00514751-ac0b-4e4a-9279-e8eec271cff4#:~:text=1,and%20professional%20conduct%20of%20intermediaries" TargetMode="External" /><Relationship Type="http://schemas.openxmlformats.org/officeDocument/2006/relationships/hyperlink" Id="rId23" Target="https://www.lexology.com/library/detail.aspx?g=00514751-ac0b-4e4a-9279-e8eec271cff4#:~:text=BNM%20intends%20to%20impose%20an,adviser%2C%20broker%20and%2For%20bancassurance%20partner" TargetMode="External" /><Relationship Type="http://schemas.openxmlformats.org/officeDocument/2006/relationships/hyperlink" Id="rId27" Target="https://www.lexology.com/library/detail.aspx?g=00514751-ac0b-4e4a-9279-e8eec271cff4#:~:text=The%20BSC%20Framework%20is%20intended,remuneration%20policy%20for%20intermediaries%20by" TargetMode="External" /><Relationship Type="http://schemas.openxmlformats.org/officeDocument/2006/relationships/hyperlink" Id="rId37" Target="https://www.lexology.com/library/detail.aspx?g=00514751-ac0b-4e4a-9279-e8eec271cff4#:~:text=The%20Exposure%20Draft%20prescribes%20certain,measuring%20the%20performance%20of%20agents" TargetMode="External" /><Relationship Type="http://schemas.openxmlformats.org/officeDocument/2006/relationships/hyperlink" Id="rId36" Target="https://www.lexology.com/library/detail.aspx?g=00514751-ac0b-4e4a-9279-e8eec271cff4#:~:text=The%20commissions%20payable%20to%20intermediaries,life%20insurer%20%2F%20takaful%20operator" TargetMode="External" /><Relationship Type="http://schemas.openxmlformats.org/officeDocument/2006/relationships/hyperlink" Id="rId43" Target="https://www.lexology.com/library/detail.aspx?g=00514751-ac0b-4e4a-9279-e8eec271cff4#:~:text=Under%20the%20Exposure%20Draft%2C%20the,takaful%20operator%E2%80%99s%20BSC%20Framework" TargetMode="External" /><Relationship Type="http://schemas.openxmlformats.org/officeDocument/2006/relationships/hyperlink" Id="rId69" Target="https://www.lexology.com/library/detail.aspx?g=00514751-ac0b-4e4a-9279-e8eec271cff4#:~:text=Under%20the%20Exposure%20Draft%2C%20with,the%20following%20conditions%20are%20fulfilled" TargetMode="External" /><Relationship Type="http://schemas.openxmlformats.org/officeDocument/2006/relationships/hyperlink" Id="rId74" Target="https://www.scribd.com/document/676619511/Balanced-Score-Card-for-Insurance-MyPF-my" TargetMode="External" /><Relationship Type="http://schemas.openxmlformats.org/officeDocument/2006/relationships/hyperlink" Id="rId45" Target="https://www.scribd.com/document/676619511/Balanced-Score-Card-for-Insurance-MyPF-my#:~:text=2%20Customer%20Fact%20Find%20,30" TargetMode="External" /><Relationship Type="http://schemas.openxmlformats.org/officeDocument/2006/relationships/hyperlink" Id="rId46" Target="https://www.scribd.com/document/676619511/Balanced-Score-Card-for-Insurance-MyPF-my#:~:text=3b%202nd%20Year%20Persistency%20Ratio,80" TargetMode="External" /><Relationship Type="http://schemas.openxmlformats.org/officeDocument/2006/relationships/hyperlink" Id="rId47" Target="https://www.scribd.com/document/676619511/Balanced-Score-Card-for-Insurance-MyPF-my#:~:text=4%20No%20Complaints%2010,0" TargetMode="External" /><Relationship Type="http://schemas.openxmlformats.org/officeDocument/2006/relationships/hyperlink" Id="rId26" Target="https://www.scribd.com/document/676619511/Balanced-Score-Card-for-Insurance-MyPF-my#:~:text=A%20mock%20run%20for%20BSC,end%20of%20every%20calendar%20year" TargetMode="External" /><Relationship Type="http://schemas.openxmlformats.org/officeDocument/2006/relationships/hyperlink" Id="rId25" Target="https://www.scribd.com/document/676619511/Balanced-Score-Card-for-Insurance-MyPF-my#:~:text=BSC%20captures%20non,basis%20for%20remunerating%20intermediaries%2C%20with" TargetMode="External" /><Relationship Type="http://schemas.openxmlformats.org/officeDocument/2006/relationships/hyperlink" Id="rId22" Target="https://www.scribd.com/document/676619511/Balanced-Score-Card-for-Insurance-MyPF-my#:~:text=Bank%20Negara%20Malaysia%20,effective%20from%20Jan%201%2C%202018" TargetMode="External" /><Relationship Type="http://schemas.openxmlformats.org/officeDocument/2006/relationships/hyperlink" Id="rId48" Target="https://www.scribd.com/document/676619511/Balanced-Score-Card-for-Insurance-MyPF-my#:~:text=Search%3A%20KPI%20No%20%EF%83%9C%20BSC,ANP" TargetMode="External" /><Relationship Type="http://schemas.openxmlformats.org/officeDocument/2006/relationships/hyperlink" Id="rId24" Target="https://www.scribd.com/document/676619511/Balanced-Score-Card-for-Insurance-MyPF-my#:~:text=Suitability%20of%20advice%20and%20recommendations,based%20on%20a%20consumer%E2%80%99s%20financial" TargetMode="External" /><Relationship Type="http://schemas.openxmlformats.org/officeDocument/2006/relationships/hyperlink" Id="rId81" Target="https://www.skrine.com/insights/alerts/september-2025/bank-negara-issues-policy-document-on-prudent-and" TargetMode="External" /><Relationship Type="http://schemas.openxmlformats.org/officeDocument/2006/relationships/hyperlink" Id="rId35" Target="https://www.skrine.com/insights/alerts/september-2025/bank-negara-issues-policy-document-on-prudent-and#:~:text=Balanced%20score%20card%20%E2%80%93%20an,19%20of%20the%20Policy%20Docu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2025-11-05T03:14:29Z</dcterms:created>
  <dcterms:modified xsi:type="dcterms:W3CDTF">2025-11-05T03:14:29Z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