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Visual Stress Strategies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hanging="420"/>
        <w:contextualSpacing w:val="0"/>
      </w:pPr>
      <w:r w:rsidDel="00000000" w:rsidR="00000000" w:rsidRPr="00000000">
        <w:drawing>
          <wp:inline distB="0" distT="0" distL="0" distR="0">
            <wp:extent cx="6066378" cy="3412254"/>
            <wp:effectExtent b="0" l="0" r="0" t="0"/>
            <wp:docPr id="3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6378" cy="3412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Colour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Coloured overlays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Tinted screens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Coloured background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48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Avoid glare caused by black on white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Space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Good use of white space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Extra lines between text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48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Increased space between letters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Eyesight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Check glasses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Coloured lenses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Periodically change colours if necessary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48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Good lighting – avoid reflections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Verdana" w:cs="Verdana" w:eastAsia="Verdana" w:hAnsi="Verdana"/>
          <w:rtl w:val="0"/>
        </w:rPr>
        <w:t xml:space="preserve">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Left justification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Clear headings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8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Larger sans serif fonts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480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Remove background 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License Terms, Acknowledgment &amp; Disclaimer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  <w:t xml:space="preserve">Author/copyright: E.A. Draffan, University of Southampton, 2015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  <w:t xml:space="preserve">This resource is hereby made available to the public under the terms of the Creative Commons by Attribution (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CC-BY 4.0</w:t>
        </w:r>
      </w:hyperlink>
      <w:r w:rsidDel="00000000" w:rsidR="00000000" w:rsidRPr="00000000">
        <w:rPr>
          <w:rtl w:val="0"/>
        </w:rPr>
        <w:t xml:space="preserve">) license. For the included images, see the corresponding footnotes for their license terms.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  <w:t xml:space="preserve">The creation of this resource has been partially funded by the ERASMUS+ grant program of the European Union under grant no. 2014-1-DE01-KA203-000679 (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MOOC Accessibility Partnership</w:t>
        </w:r>
      </w:hyperlink>
      <w:r w:rsidDel="00000000" w:rsidR="00000000" w:rsidRPr="00000000">
        <w:rPr>
          <w:rtl w:val="0"/>
        </w:rPr>
        <w:t xml:space="preserve">). Neither the European Commission nor the project's national funding agency DAAD are responsible for the content or liable for any losses or damage resulting of the use of these resources.</w:t>
      </w:r>
    </w:p>
    <w:p w:rsidR="00000000" w:rsidDel="00000000" w:rsidP="00000000" w:rsidRDefault="00000000" w:rsidRPr="00000000">
      <w:pPr>
        <w:pStyle w:val="Title"/>
        <w:spacing w:line="276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2131060" cy="612140"/>
            <wp:effectExtent b="0" l="0" r="0" t="0"/>
            <wp:docPr descr="Logo: Erasmus+ The logo consists of the European Union flag (stars in a circle) and the wording &quot;Erasmus+&quot;." id="2" name="image03.png"/>
            <a:graphic>
              <a:graphicData uri="http://schemas.openxmlformats.org/drawingml/2006/picture">
                <pic:pic>
                  <pic:nvPicPr>
                    <pic:cNvPr descr="Logo: Erasmus+ The logo consists of the European Union flag (stars in a circle) and the wording &quot;Erasmus+&quot;." id="0" name="image0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612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1997710" cy="668020"/>
            <wp:effectExtent b="0" l="0" r="0" t="0"/>
            <wp:docPr descr="Logo: MOOCA Partnership. The logo shows the letters &quot;MOOCA&quot;.  The &quot;A&quot; is superimposed on a mortarboard (graduation cap), with the inner part of the &quot;A&quot; shaping a keyhole." id="1" name="image02.png"/>
            <a:graphic>
              <a:graphicData uri="http://schemas.openxmlformats.org/drawingml/2006/picture">
                <pic:pic>
                  <pic:nvPicPr>
                    <pic:cNvPr descr="Logo: MOOCA Partnership. The logo shows the letters &quot;MOOCA&quot;.  The &quot;A&quot; is superimposed on a mortarboard (graduation cap), with the inner part of the &quot;A&quot; shaping a keyhole." id="0" name="image0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668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uifmcndw6g4" w:id="1"/>
      <w:bookmarkEnd w:id="1"/>
      <w:r w:rsidDel="00000000" w:rsidR="00000000" w:rsidRPr="00000000">
        <w:rPr>
          <w:rtl w:val="0"/>
        </w:rPr>
        <w:t xml:space="preserve">Additional Metadata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4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4"/>
        <w:tblGridChange w:id="0">
          <w:tblGrid>
            <w:gridCol w:w="464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Copyright of text (name of university):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© University of Southampton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  <w:t xml:space="preserve">Images in the article</w:t>
      </w:r>
    </w:p>
    <w:tbl>
      <w:tblPr>
        <w:tblStyle w:val="Table2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Filename of image: visual stress strategiesfinal.jpg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Image title: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 of Visual Stress Strategies for reading screen based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Caption for image: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 of Visual Stress Strategies for reading screen based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Alternative text for the image for screen readers: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 of Visual Stress Strategies for reading screen based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Copyright for the image: ©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Have they filled out a Copyright Release Agreement? Yes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6"/>
        <w:gridCol w:w="7500"/>
        <w:tblGridChange w:id="0">
          <w:tblGrid>
            <w:gridCol w:w="1516"/>
            <w:gridCol w:w="750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Title of file name of resource: visual stress Strategies.docx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 of resource: Text from the image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Key words: Digital Accessibility, visual stress, dyslexia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Author/Contributor: E.A. Draffan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File type: Text Document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Length (pages, actual length of audio or video): 3 pages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Copyright Holder: University of Southampton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Other related pedagogical assets: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Related subject or skill area: Disability, dyslexia,  visual stress, Accessibility,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publisher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MOOCAP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 MS WORD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issued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12-12-2015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license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CC BY 4.0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426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Verdana"/>
  <w:font w:name="Arial"/>
  <w:font w:name="Quattrocento Sans">
    <w:embedRegular r:id="rId1" w:subsetted="0"/>
    <w:embedBold r:id="rId2" w:subsetted="0"/>
    <w:embedItalic r:id="rId3" w:subsetted="0"/>
    <w:embedBoldItalic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Additional Metadata is included here using a scheme format derived from </w:t>
      </w:r>
      <w:hyperlink r:id="rId1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https://www.elanguages.ac.uk/l2o_documents.php</w:t>
        </w:r>
      </w:hyperlink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which is based on the Dublin Core Metadata Model.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11" Type="http://schemas.openxmlformats.org/officeDocument/2006/relationships/image" Target="media/image02.png"/><Relationship Id="rId10" Type="http://schemas.openxmlformats.org/officeDocument/2006/relationships/image" Target="media/image03.png"/><Relationship Id="rId9" Type="http://schemas.openxmlformats.org/officeDocument/2006/relationships/hyperlink" Target="http://gpii.eu/moocap/" TargetMode="External"/><Relationship Id="rId5" Type="http://schemas.openxmlformats.org/officeDocument/2006/relationships/styles" Target="styles.xml"/><Relationship Id="rId6" Type="http://schemas.openxmlformats.org/officeDocument/2006/relationships/image" Target="media/image05.jpg"/><Relationship Id="rId7" Type="http://schemas.openxmlformats.org/officeDocument/2006/relationships/hyperlink" Target="http://www.essex.ac.uk/psychology/overlays/perception28.pdf" TargetMode="External"/><Relationship Id="rId8" Type="http://schemas.openxmlformats.org/officeDocument/2006/relationships/hyperlink" Target="https://creativecommons.org/licenses/by/4.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elanguages.ac.uk/l2o_documents.php" TargetMode="External"/></Relationships>
</file>