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58" w:rsidRPr="00ED29F0" w:rsidRDefault="00244D58" w:rsidP="00244D58">
      <w:pPr>
        <w:spacing w:after="200" w:line="276" w:lineRule="auto"/>
        <w:rPr>
          <w:rFonts w:ascii="Arial" w:hAnsi="Arial" w:cs="Arial"/>
          <w:b/>
          <w:sz w:val="24"/>
          <w:szCs w:val="24"/>
        </w:rPr>
      </w:pPr>
      <w:r>
        <w:rPr>
          <w:rFonts w:ascii="Arial" w:hAnsi="Arial" w:cs="Arial"/>
          <w:b/>
          <w:sz w:val="24"/>
          <w:szCs w:val="24"/>
        </w:rPr>
        <w:t xml:space="preserve">VIII. </w:t>
      </w:r>
      <w:r w:rsidRPr="00ED29F0">
        <w:rPr>
          <w:rFonts w:ascii="Arial" w:hAnsi="Arial" w:cs="Arial"/>
          <w:b/>
          <w:sz w:val="24"/>
          <w:szCs w:val="24"/>
        </w:rPr>
        <w:t xml:space="preserve">METODOLOGÍA </w:t>
      </w:r>
    </w:p>
    <w:p w:rsidR="00244D58" w:rsidRPr="00ED29F0" w:rsidRDefault="00244D58" w:rsidP="00244D58">
      <w:pPr>
        <w:spacing w:line="360" w:lineRule="auto"/>
        <w:jc w:val="both"/>
        <w:rPr>
          <w:rFonts w:ascii="Arial" w:hAnsi="Arial" w:cs="Arial"/>
          <w:b/>
          <w:sz w:val="24"/>
          <w:szCs w:val="24"/>
        </w:rPr>
      </w:pPr>
      <w:r>
        <w:rPr>
          <w:rFonts w:ascii="Arial" w:hAnsi="Arial" w:cs="Arial"/>
          <w:b/>
          <w:sz w:val="24"/>
          <w:szCs w:val="24"/>
        </w:rPr>
        <w:t xml:space="preserve">VIII.I </w:t>
      </w:r>
      <w:r w:rsidRPr="00ED29F0">
        <w:rPr>
          <w:rFonts w:ascii="Arial" w:hAnsi="Arial" w:cs="Arial"/>
          <w:b/>
          <w:sz w:val="24"/>
          <w:szCs w:val="24"/>
        </w:rPr>
        <w:t>Diseño de estudio</w:t>
      </w:r>
    </w:p>
    <w:p w:rsidR="00244D58" w:rsidRDefault="00244D58" w:rsidP="00244D58">
      <w:pPr>
        <w:spacing w:line="360" w:lineRule="auto"/>
        <w:jc w:val="both"/>
        <w:rPr>
          <w:rFonts w:ascii="Arial" w:hAnsi="Arial" w:cs="Arial"/>
          <w:sz w:val="24"/>
          <w:szCs w:val="24"/>
        </w:rPr>
      </w:pPr>
      <w:r w:rsidRPr="00ED29F0">
        <w:rPr>
          <w:rFonts w:ascii="Arial" w:hAnsi="Arial" w:cs="Arial"/>
          <w:sz w:val="24"/>
          <w:szCs w:val="24"/>
        </w:rPr>
        <w:t>Existen varios estudio</w:t>
      </w:r>
      <w:r>
        <w:rPr>
          <w:rFonts w:ascii="Arial" w:hAnsi="Arial" w:cs="Arial"/>
          <w:sz w:val="24"/>
          <w:szCs w:val="24"/>
        </w:rPr>
        <w:t>s</w:t>
      </w:r>
      <w:r w:rsidRPr="00ED29F0">
        <w:rPr>
          <w:rFonts w:ascii="Arial" w:hAnsi="Arial" w:cs="Arial"/>
          <w:sz w:val="24"/>
          <w:szCs w:val="24"/>
        </w:rPr>
        <w:t xml:space="preserve"> que han proporcionado información de la relación que tienen las enfermedades crónicas degenerativas y el </w:t>
      </w:r>
      <w:r>
        <w:rPr>
          <w:rFonts w:ascii="Arial" w:hAnsi="Arial" w:cs="Arial"/>
          <w:sz w:val="24"/>
          <w:szCs w:val="24"/>
        </w:rPr>
        <w:t>déficit</w:t>
      </w:r>
      <w:r w:rsidRPr="00ED29F0">
        <w:rPr>
          <w:rFonts w:ascii="Arial" w:hAnsi="Arial" w:cs="Arial"/>
          <w:sz w:val="24"/>
          <w:szCs w:val="24"/>
        </w:rPr>
        <w:t xml:space="preserve"> cognitivo. Sin embargo, ninguno de esos estudios ha medido la fuerza de asociación y de predicción de dichas variables. Es por esta razón que se propone que este estudio sea diseñado como un estudio de Casos y Controles</w:t>
      </w:r>
      <w:r>
        <w:rPr>
          <w:rFonts w:ascii="Arial" w:hAnsi="Arial" w:cs="Arial"/>
          <w:sz w:val="24"/>
          <w:szCs w:val="24"/>
        </w:rPr>
        <w:t xml:space="preserve"> anidado a una cohorte</w:t>
      </w:r>
      <w:r w:rsidRPr="00ED29F0">
        <w:rPr>
          <w:rFonts w:ascii="Arial" w:hAnsi="Arial" w:cs="Arial"/>
          <w:sz w:val="24"/>
          <w:szCs w:val="24"/>
        </w:rPr>
        <w:t>, para aprovechar las ventajas que ofrec</w:t>
      </w:r>
      <w:r>
        <w:rPr>
          <w:rFonts w:ascii="Arial" w:hAnsi="Arial" w:cs="Arial"/>
          <w:sz w:val="24"/>
          <w:szCs w:val="24"/>
        </w:rPr>
        <w:t>e este tipo de diseño, ver Figura 2</w:t>
      </w:r>
      <w:r w:rsidRPr="00ED29F0">
        <w:rPr>
          <w:rFonts w:ascii="Arial" w:hAnsi="Arial" w:cs="Arial"/>
          <w:sz w:val="24"/>
          <w:szCs w:val="24"/>
        </w:rPr>
        <w:t>.</w:t>
      </w:r>
      <w:r>
        <w:rPr>
          <w:rFonts w:ascii="Arial" w:hAnsi="Arial" w:cs="Arial"/>
          <w:sz w:val="24"/>
          <w:szCs w:val="24"/>
        </w:rPr>
        <w:t xml:space="preserve"> </w:t>
      </w:r>
    </w:p>
    <w:p w:rsidR="00244D58" w:rsidRDefault="00244D58" w:rsidP="00244D58">
      <w:pPr>
        <w:spacing w:line="360" w:lineRule="auto"/>
        <w:jc w:val="center"/>
        <w:rPr>
          <w:rFonts w:ascii="Arial" w:hAnsi="Arial" w:cs="Arial"/>
          <w:sz w:val="24"/>
          <w:szCs w:val="24"/>
        </w:rPr>
      </w:pPr>
      <w:r w:rsidRPr="00947091">
        <w:rPr>
          <w:rFonts w:ascii="Arial" w:hAnsi="Arial" w:cs="Arial"/>
          <w:noProof/>
          <w:sz w:val="24"/>
          <w:szCs w:val="24"/>
          <w:lang w:val="es-ES" w:eastAsia="es-ES"/>
        </w:rPr>
        <w:drawing>
          <wp:inline distT="0" distB="0" distL="0" distR="0">
            <wp:extent cx="4036789" cy="3362192"/>
            <wp:effectExtent l="0" t="0" r="1905" b="0"/>
            <wp:docPr id="5" name="Imagen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7B92477-0E88-41D2-AEBF-5A71CA5506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7B92477-0E88-41D2-AEBF-5A71CA550690}"/>
                        </a:ext>
                      </a:extLst>
                    </pic:cNvPr>
                    <pic:cNvPicPr>
                      <a:picLocks noChangeAspect="1"/>
                    </pic:cNvPicPr>
                  </pic:nvPicPr>
                  <pic:blipFill>
                    <a:blip r:embed="rId7" cstate="print"/>
                    <a:stretch>
                      <a:fillRect/>
                    </a:stretch>
                  </pic:blipFill>
                  <pic:spPr>
                    <a:xfrm>
                      <a:off x="0" y="0"/>
                      <a:ext cx="4036789" cy="3362192"/>
                    </a:xfrm>
                    <a:prstGeom prst="rect">
                      <a:avLst/>
                    </a:prstGeom>
                  </pic:spPr>
                </pic:pic>
              </a:graphicData>
            </a:graphic>
          </wp:inline>
        </w:drawing>
      </w:r>
      <w:bookmarkStart w:id="0" w:name="_GoBack"/>
      <w:bookmarkEnd w:id="0"/>
    </w:p>
    <w:p w:rsidR="00244D58" w:rsidRDefault="00244D58" w:rsidP="00244D58">
      <w:pPr>
        <w:spacing w:line="360" w:lineRule="auto"/>
        <w:jc w:val="both"/>
        <w:rPr>
          <w:rFonts w:ascii="Arial" w:hAnsi="Arial" w:cs="Arial"/>
          <w:sz w:val="24"/>
          <w:szCs w:val="24"/>
        </w:rPr>
      </w:pPr>
      <w:r>
        <w:rPr>
          <w:rFonts w:ascii="Arial" w:hAnsi="Arial" w:cs="Arial"/>
          <w:sz w:val="24"/>
          <w:szCs w:val="24"/>
        </w:rPr>
        <w:t>El tipo de estudio de Casos y controles anidado a una cohorte se le denomina como un estudio hibrido, en éste los casos y controles son seleccionados del estudio de cohorte prospectivo que cuenta con la información de los sujetos desde el inicio hasta el momento del seguimiento de interé</w:t>
      </w:r>
      <w:r w:rsidRPr="00F26956">
        <w:rPr>
          <w:rFonts w:ascii="Arial" w:hAnsi="Arial" w:cs="Arial"/>
          <w:sz w:val="24"/>
          <w:szCs w:val="24"/>
        </w:rPr>
        <w:t>s</w:t>
      </w:r>
      <w:r>
        <w:rPr>
          <w:rFonts w:ascii="Arial" w:hAnsi="Arial" w:cs="Arial"/>
          <w:sz w:val="24"/>
          <w:szCs w:val="24"/>
        </w:rPr>
        <w:t xml:space="preserve">, ver Figura 3. La información del estudio de cohorte es organizada en conjuntos de riegos, estos son definidos como puntos en el tiempo de las diferentes mediciones del estudio de cohorte. </w:t>
      </w:r>
      <w:r>
        <w:rPr>
          <w:rFonts w:ascii="Arial" w:hAnsi="Arial" w:cs="Arial"/>
          <w:sz w:val="24"/>
          <w:szCs w:val="24"/>
        </w:rPr>
        <w:fldChar w:fldCharType="begin" w:fldLock="1"/>
      </w:r>
      <w:r>
        <w:rPr>
          <w:rFonts w:ascii="Arial" w:hAnsi="Arial" w:cs="Arial"/>
          <w:sz w:val="24"/>
          <w:szCs w:val="24"/>
        </w:rPr>
        <w:instrText>ADDIN CSL_CITATION { "citationItems" : [ { "id" : "ITEM-1", "itemData" : { "ISBN" : "047084907X", "author" : [ { "dropping-particle" : "", "family" : "Langholz", "given" : "Bryan", "non-dropping-particle" : "", "parse-names" : false, "suffix" : "" } ], "edition" : "Second edi", "editor" : [ { "dropping-particle" : "", "family" : "Armitage", "given" : "Peter", "non-dropping-particle" : "", "parse-names" : false, "suffix" : "" }, { "dropping-particle" : "", "family" : "Colton", "given" : "Theodore", "non-dropping-particle" : "", "parse-names" : false, "suffix" : "" } ], "id" : "ITEM-1", "issued" : { "date-parts" : [ [ "2005" ] ] }, "page" : "646-655", "title" : "Case \u2013 Control Study , Nested Edited by Case \u2013 Control Study ,", "type" : "chapter", "volume" : "1" }, "uris" : [ "http://www.mendeley.com/documents/?uuid=7efa102a-1154-452e-87f4-50a94ed17829" ] }, { "id" : "ITEM-2", "itemData" : { "DOI" : "10.1186/1471-2288-8-48", "ISBN" : "1471-2288", "ISSN" : "1471-2288", "PMID" : "18644127", "abstract" : "Despite its benefits, it is uncommon to apply the nested case-control design in diagnostic research. We aim to show advantages of this design for diagnostic accuracy studies. We used data from a full cross-sectional diagnostic study comprising a cohort of 1295 consecutive patients who were selected on their suspicion of having deep vein thrombosis (DVT). We draw nested case-control samples from the full study population with case:control ratios of 1:1, 1:2, 1:3 and 1:4 (per ratio 100 samples were taken). We calculated diagnostic accuracy estimates for two tests that are used to detect DVT in clinical practice. Estimates of diagnostic accuracy in the nested case-control samples were very similar to those in the full study population. For example, for each case:control ratio, the positive predictive value of the D-dimer test was 0.30 in the full study population and 0.30 in the nested case-control samples (median of the 100 samples). As expected, variability of the estimates decreased with increasing sample size. Our findings support the view that the nested case-control study is a valid and efficient design for diagnostic studies and should also be (re)appraised in current guidelines on diagnostic accuracy research.", "author" : [ { "dropping-particle" : "", "family" : "Biesheuvel", "given" : "Cornelis J", "non-dropping-particle" : "", "parse-names" : false, "suffix" : "" }, { "dropping-particle" : "", "family" : "Vergouwe", "given" : "Yvonne", "non-dropping-particle" : "", "parse-names" : false, "suffix" : "" }, { "dropping-particle" : "", "family" : "Oudega", "given" : "Ruud", "non-dropping-particle" : "", "parse-names" : false, "suffix" : "" }, { "dropping-particle" : "", "family" : "Hoes", "given" : "Arno W", "non-dropping-particle" : "", "parse-names" : false, "suffix" : "" }, { "dropping-particle" : "", "family" : "Grobbee", "given" : "Diederick E", "non-dropping-particle" : "", "parse-names" : false, "suffix" : "" }, { "dropping-particle" : "", "family" : "Moons", "given" : "Karel GM", "non-dropping-particle" : "", "parse-names" : false, "suffix" : "" } ], "container-title" : "BMC Medical Research Methodology", "id" : "ITEM-2", "issue" : "1", "issued" : { "date-parts" : [ [ "2008" ] ] }, "page" : "48", "title" : "Advantages of the nested case-control design in diagnostic research", "type" : "article-journal", "volume" : "8" }, "uris" : [ "http://www.mendeley.com/documents/?uuid=f429431c-20f7-4f33-97b2-47d754cba6ce" ] } ], "mendeley" : { "formattedCitation" : "(Biesheuvel et al., 2008; Langholz, 2005)", "plainTextFormattedCitation" : "(Biesheuvel et al., 2008; Langholz, 2005)", "previouslyFormattedCitation" : "(54,55)" }, "properties" : { "noteIndex" : 0 }, "schema" : "https://github.com/citation-style-language/schema/raw/master/csl-citation.json" }</w:instrText>
      </w:r>
      <w:r>
        <w:rPr>
          <w:rFonts w:ascii="Arial" w:hAnsi="Arial" w:cs="Arial"/>
          <w:sz w:val="24"/>
          <w:szCs w:val="24"/>
        </w:rPr>
        <w:fldChar w:fldCharType="separate"/>
      </w:r>
      <w:r w:rsidRPr="009A2C5C">
        <w:rPr>
          <w:rFonts w:ascii="Arial" w:hAnsi="Arial" w:cs="Arial"/>
          <w:noProof/>
          <w:sz w:val="24"/>
          <w:szCs w:val="24"/>
        </w:rPr>
        <w:t>(Biesheuvel et al., 2008; Langholz, 2005)</w:t>
      </w:r>
      <w:r>
        <w:rPr>
          <w:rFonts w:ascii="Arial" w:hAnsi="Arial" w:cs="Arial"/>
          <w:sz w:val="24"/>
          <w:szCs w:val="24"/>
        </w:rPr>
        <w:fldChar w:fldCharType="end"/>
      </w:r>
      <w:r>
        <w:rPr>
          <w:rFonts w:ascii="Arial" w:hAnsi="Arial" w:cs="Arial"/>
          <w:sz w:val="24"/>
          <w:szCs w:val="24"/>
        </w:rPr>
        <w:t xml:space="preserve">. </w:t>
      </w:r>
    </w:p>
    <w:p w:rsidR="00F852CA" w:rsidRDefault="00F852CA"/>
    <w:p w:rsidR="00244D58" w:rsidRDefault="00244D58"/>
    <w:sectPr w:rsidR="00244D58" w:rsidSect="00F852CA">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A10" w:rsidRDefault="000D1A10" w:rsidP="00244D58">
      <w:pPr>
        <w:spacing w:after="0" w:line="240" w:lineRule="auto"/>
      </w:pPr>
      <w:r>
        <w:separator/>
      </w:r>
    </w:p>
  </w:endnote>
  <w:endnote w:type="continuationSeparator" w:id="0">
    <w:p w:rsidR="000D1A10" w:rsidRDefault="000D1A10" w:rsidP="00244D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D58" w:rsidRDefault="00244D58">
    <w:pPr>
      <w:pStyle w:val="Piedepgina"/>
    </w:pPr>
    <w:r>
      <w:tab/>
      <w:t>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A10" w:rsidRDefault="000D1A10" w:rsidP="00244D58">
      <w:pPr>
        <w:spacing w:after="0" w:line="240" w:lineRule="auto"/>
      </w:pPr>
      <w:r>
        <w:separator/>
      </w:r>
    </w:p>
  </w:footnote>
  <w:footnote w:type="continuationSeparator" w:id="0">
    <w:p w:rsidR="000D1A10" w:rsidRDefault="000D1A10" w:rsidP="00244D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244D58"/>
    <w:rsid w:val="000D1A10"/>
    <w:rsid w:val="00244D58"/>
    <w:rsid w:val="00604E15"/>
    <w:rsid w:val="00F852CA"/>
    <w:rsid w:val="00FE46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D58"/>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4D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D58"/>
    <w:rPr>
      <w:rFonts w:ascii="Tahoma" w:hAnsi="Tahoma" w:cs="Tahoma"/>
      <w:sz w:val="16"/>
      <w:szCs w:val="16"/>
      <w:lang w:val="es-MX"/>
    </w:rPr>
  </w:style>
  <w:style w:type="paragraph" w:styleId="Encabezado">
    <w:name w:val="header"/>
    <w:basedOn w:val="Normal"/>
    <w:link w:val="EncabezadoCar"/>
    <w:uiPriority w:val="99"/>
    <w:semiHidden/>
    <w:unhideWhenUsed/>
    <w:rsid w:val="00244D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44D58"/>
    <w:rPr>
      <w:lang w:val="es-MX"/>
    </w:rPr>
  </w:style>
  <w:style w:type="paragraph" w:styleId="Piedepgina">
    <w:name w:val="footer"/>
    <w:basedOn w:val="Normal"/>
    <w:link w:val="PiedepginaCar"/>
    <w:uiPriority w:val="99"/>
    <w:unhideWhenUsed/>
    <w:rsid w:val="00244D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4D58"/>
    <w:rPr>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B072D3-27F8-4F9F-B172-87360947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747</Words>
  <Characters>4111</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Maricarmen GUTIERREZ</dc:creator>
  <cp:lastModifiedBy>Maricarmen GUTIERREZ</cp:lastModifiedBy>
  <cp:revision>2</cp:revision>
  <cp:lastPrinted>2017-11-28T17:59:00Z</cp:lastPrinted>
  <dcterms:created xsi:type="dcterms:W3CDTF">2017-11-28T17:57:00Z</dcterms:created>
  <dcterms:modified xsi:type="dcterms:W3CDTF">2017-11-28T17:59:00Z</dcterms:modified>
</cp:coreProperties>
</file>