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pPr>
      <w:r>
        <w:rPr>
          <w:rFonts w:ascii="Times New Roman" w:hAnsi="Times New Roman"/>
          <w:b/>
          <w:sz w:val="24"/>
        </w:rPr>
        <w:t>Forecasting China's Monthly Retail Sales: Seasonal ARIMA with a Lunar New Year Adjustment</w:t>
      </w:r>
    </w:p>
    <w:p>
      <w:pPr>
        <w:spacing w:line="276" w:lineRule="auto" w:after="120" w:before="0"/>
      </w:pPr>
      <w:r>
        <w:rPr>
          <w:rFonts w:ascii="Times New Roman" w:hAnsi="Times New Roman"/>
          <w:b w:val="0"/>
          <w:sz w:val="24"/>
        </w:rPr>
        <w:t>Group gpX:  ⟨Member 1 Name / Student ID⟩  ⟨Member 2 Name / Student ID⟩  ⟨Member 3 Name / Student ID⟩  ⟨Member 4 Name / Student ID⟩</w:t>
      </w:r>
    </w:p>
    <w:p>
      <w:pPr>
        <w:spacing w:line="276" w:lineRule="auto" w:after="120" w:before="0"/>
      </w:pPr>
    </w:p>
    <w:p>
      <w:pPr>
        <w:spacing w:line="276" w:lineRule="auto" w:after="120" w:before="0"/>
      </w:pPr>
      <w:r>
        <w:rPr>
          <w:rFonts w:ascii="Times New Roman" w:hAnsi="Times New Roman"/>
          <w:b/>
          <w:sz w:val="24"/>
        </w:rPr>
        <w:t>1. Forecasting Question</w:t>
      </w:r>
    </w:p>
    <w:p>
      <w:pPr>
        <w:spacing w:line="276" w:lineRule="auto" w:after="120" w:before="0"/>
      </w:pPr>
      <w:r>
        <w:rPr>
          <w:rFonts w:ascii="Times New Roman" w:hAnsi="Times New Roman"/>
          <w:b w:val="0"/>
          <w:sz w:val="24"/>
        </w:rPr>
        <w:t>Can monthly total retail sales of consumer goods in China (社会消费品零售总额当月值) be forecast accurately six months ahead, and does explicitly accounting for the moving lunar New Year effect improve out-of-sample forecasting performance relative to a standard seasonal model?</w:t>
      </w:r>
    </w:p>
    <w:p>
      <w:pPr>
        <w:spacing w:line="276" w:lineRule="auto" w:after="120" w:before="0"/>
      </w:pPr>
      <w:r>
        <w:rPr>
          <w:rFonts w:ascii="Times New Roman" w:hAnsi="Times New Roman"/>
          <w:b w:val="0"/>
          <w:sz w:val="24"/>
        </w:rPr>
        <w:t>More specifically, we will address the following sub-questions:</w:t>
      </w:r>
    </w:p>
    <w:p>
      <w:pPr>
        <w:spacing w:line="276" w:lineRule="auto" w:after="120" w:before="0"/>
        <w:ind w:left="360"/>
      </w:pPr>
      <w:r>
        <w:rPr>
          <w:rFonts w:ascii="Times New Roman" w:hAnsi="Times New Roman"/>
          <w:b w:val="0"/>
          <w:sz w:val="24"/>
        </w:rPr>
        <w:t>How accurate are simple benchmarks --- the historical mean, the &lt;naïve&gt;, and the &lt;seasonal-naïve&gt; forecast --- at the six-month horizon?</w:t>
      </w:r>
    </w:p>
    <w:p>
      <w:pPr>
        <w:spacing w:line="276" w:lineRule="auto" w:after="120" w:before="0"/>
        <w:ind w:left="360"/>
      </w:pPr>
      <w:r>
        <w:rPr>
          <w:rFonts w:ascii="Times New Roman" w:hAnsi="Times New Roman"/>
          <w:b w:val="0"/>
          <w:sz w:val="24"/>
        </w:rPr>
        <w:t>Does a seasonal ARIMA model outperform these benchmarks once the series is appropriately transformed and seasonally differenced?</w:t>
      </w:r>
    </w:p>
    <w:p>
      <w:pPr>
        <w:spacing w:line="276" w:lineRule="auto" w:after="120" w:before="0"/>
        <w:ind w:left="360"/>
      </w:pPr>
      <w:r>
        <w:rPr>
          <w:rFonts w:ascii="Times New Roman" w:hAnsi="Times New Roman"/>
          <w:b w:val="0"/>
          <w:sz w:val="24"/>
        </w:rPr>
        <w:t>Does adding a calendar variable that captures the lunar New Year's changing monthly position improve out-of-sample accuracy near the January - February boundary?</w:t>
      </w:r>
    </w:p>
    <w:p>
      <w:pPr>
        <w:spacing w:line="276" w:lineRule="auto" w:after="120" w:before="0"/>
      </w:pPr>
      <w:r>
        <w:rPr>
          <w:rFonts w:ascii="Times New Roman" w:hAnsi="Times New Roman"/>
          <w:b w:val="0"/>
          <w:sz w:val="24"/>
        </w:rPr>
        <w:t>Monthly retail sales are a headline indicator of household consumption in China and a key input for retailers' inventory and staffing decisions, for consumption-policy assessment, and for short-term demand analysis. Accurate six-month-ahead forecasts, together with honest measures of their uncertainty, therefore have direct practical value.</w:t>
      </w:r>
    </w:p>
    <w:p>
      <w:pPr>
        <w:spacing w:line="276" w:lineRule="auto" w:after="120" w:before="0"/>
      </w:pPr>
      <w:r>
        <w:rPr>
          <w:rFonts w:ascii="Times New Roman" w:hAnsi="Times New Roman"/>
          <w:b/>
          <w:sz w:val="24"/>
        </w:rPr>
        <w:t>2. Data</w:t>
      </w:r>
    </w:p>
    <w:p>
      <w:pPr>
        <w:spacing w:line="276" w:lineRule="auto" w:after="120" w:before="0"/>
      </w:pPr>
      <w:r>
        <w:rPr>
          <w:rFonts w:ascii="Times New Roman" w:hAnsi="Times New Roman"/>
          <w:b w:val="0"/>
          <w:sz w:val="24"/>
        </w:rPr>
        <w:t>The primary series is the national monthly total retail sales of consumer goods published by the National Bureau of Statistics of China (NBS), accessed through the official &lt;National Data&gt; platform. A secondary monthly series, the manufacturing PMI, is retained as a candidate explanatory variable. The dataset satisfies the guidelines in the project brief:</w:t>
      </w:r>
    </w:p>
    <w:tbl>
      <w:tblPr>
        <w:tblStyle w:val="TableGrid"/>
        <w:tblW w:type="auto" w:w="0"/>
        <w:tblLook w:firstColumn="1" w:firstRow="1" w:lastColumn="0" w:lastRow="0" w:noHBand="0" w:noVBand="1" w:val="04A0"/>
      </w:tblPr>
      <w:tblGrid>
        <w:gridCol w:w="4514"/>
        <w:gridCol w:w="4514"/>
      </w:tblGrid>
      <w:tr>
        <w:tc>
          <w:tcPr>
            <w:tcW w:type="dxa" w:w="4514"/>
          </w:tcPr>
          <w:p>
            <w:pPr>
              <w:spacing w:after="40" w:line="240" w:lineRule="auto"/>
            </w:pPr>
            <w:r>
              <w:rPr>
                <w:rFonts w:ascii="Times New Roman" w:hAnsi="Times New Roman"/>
                <w:b/>
                <w:sz w:val="24"/>
              </w:rPr>
              <w:t>Item</w:t>
            </w:r>
          </w:p>
        </w:tc>
        <w:tc>
          <w:tcPr>
            <w:tcW w:type="dxa" w:w="4514"/>
          </w:tcPr>
          <w:p>
            <w:pPr>
              <w:spacing w:after="40" w:line="240" w:lineRule="auto"/>
            </w:pPr>
            <w:r>
              <w:rPr>
                <w:rFonts w:ascii="Times New Roman" w:hAnsi="Times New Roman"/>
                <w:b/>
                <w:sz w:val="24"/>
              </w:rPr>
              <w:t>Detail</w:t>
            </w:r>
          </w:p>
        </w:tc>
      </w:tr>
      <w:tr>
        <w:tc>
          <w:tcPr>
            <w:tcW w:type="dxa" w:w="4514"/>
          </w:tcPr>
          <w:p>
            <w:pPr>
              <w:spacing w:after="40" w:line="240" w:lineRule="auto"/>
            </w:pPr>
            <w:r>
              <w:rPr>
                <w:rFonts w:ascii="Times New Roman" w:hAnsi="Times New Roman"/>
                <w:b w:val="0"/>
                <w:sz w:val="24"/>
              </w:rPr>
              <w:t>Original source and link</w:t>
            </w:r>
          </w:p>
        </w:tc>
        <w:tc>
          <w:tcPr>
            <w:tcW w:type="dxa" w:w="4514"/>
          </w:tcPr>
          <w:p>
            <w:pPr>
              <w:spacing w:after="40" w:line="240" w:lineRule="auto"/>
            </w:pPr>
            <w:r>
              <w:rPr>
                <w:rFonts w:ascii="Times New Roman" w:hAnsi="Times New Roman"/>
                <w:b w:val="0"/>
                <w:sz w:val="24"/>
              </w:rPr>
              <w:t>National Bureau of Statistics of China, National Data (国家数据), https://data.stats.gov.cn (monthly data -&gt; domestic trade). Retrieved ⟨YYYY-MM-DD⟩.</w:t>
            </w:r>
          </w:p>
        </w:tc>
      </w:tr>
      <w:tr>
        <w:tc>
          <w:tcPr>
            <w:tcW w:type="dxa" w:w="4514"/>
          </w:tcPr>
          <w:p>
            <w:pPr>
              <w:spacing w:after="40" w:line="240" w:lineRule="auto"/>
            </w:pPr>
            <w:r>
              <w:rPr>
                <w:rFonts w:ascii="Times New Roman" w:hAnsi="Times New Roman"/>
                <w:b w:val="0"/>
                <w:sz w:val="24"/>
              </w:rPr>
              <w:t>How the data were collected</w:t>
            </w:r>
          </w:p>
        </w:tc>
        <w:tc>
          <w:tcPr>
            <w:tcW w:type="dxa" w:w="4514"/>
          </w:tcPr>
          <w:p>
            <w:pPr>
              <w:spacing w:after="40" w:line="240" w:lineRule="auto"/>
            </w:pPr>
            <w:r>
              <w:rPr>
                <w:rFonts w:ascii="Times New Roman" w:hAnsi="Times New Roman"/>
                <w:b w:val="0"/>
                <w:sz w:val="24"/>
              </w:rPr>
              <w:t>⟨Verify and specify: retail enterprises above a size threshold report monthly through the NBS statistical reporting system; the NBS aggregates these into the monthly retail-sales total. Provide NBS methodological reference.⟩</w:t>
            </w:r>
          </w:p>
        </w:tc>
      </w:tr>
      <w:tr>
        <w:tc>
          <w:tcPr>
            <w:tcW w:type="dxa" w:w="4514"/>
          </w:tcPr>
          <w:p>
            <w:pPr>
              <w:spacing w:after="40" w:line="240" w:lineRule="auto"/>
            </w:pPr>
            <w:r>
              <w:rPr>
                <w:rFonts w:ascii="Times New Roman" w:hAnsi="Times New Roman"/>
                <w:b w:val="0"/>
                <w:sz w:val="24"/>
              </w:rPr>
              <w:t>Time period and frequency</w:t>
            </w:r>
          </w:p>
        </w:tc>
        <w:tc>
          <w:tcPr>
            <w:tcW w:type="dxa" w:w="4514"/>
          </w:tcPr>
          <w:p>
            <w:pPr>
              <w:spacing w:after="40" w:line="240" w:lineRule="auto"/>
            </w:pPr>
            <w:r>
              <w:rPr>
                <w:rFonts w:ascii="Times New Roman" w:hAnsi="Times New Roman"/>
                <w:b w:val="0"/>
                <w:sz w:val="24"/>
              </w:rPr>
              <w:t>⟨YYYY-MM⟩ to ⟨YYYY-MM⟩, monthly, regular one-month interval.</w:t>
            </w:r>
          </w:p>
        </w:tc>
      </w:tr>
      <w:tr>
        <w:tc>
          <w:tcPr>
            <w:tcW w:type="dxa" w:w="4514"/>
          </w:tcPr>
          <w:p>
            <w:pPr>
              <w:spacing w:after="40" w:line="240" w:lineRule="auto"/>
            </w:pPr>
            <w:r>
              <w:rPr>
                <w:rFonts w:ascii="Times New Roman" w:hAnsi="Times New Roman"/>
                <w:b w:val="0"/>
                <w:sz w:val="24"/>
              </w:rPr>
              <w:t>Number of observations</w:t>
            </w:r>
          </w:p>
        </w:tc>
        <w:tc>
          <w:tcPr>
            <w:tcW w:type="dxa" w:w="4514"/>
          </w:tcPr>
          <w:p>
            <w:pPr>
              <w:spacing w:after="40" w:line="240" w:lineRule="auto"/>
            </w:pPr>
            <w:r>
              <w:rPr>
                <w:rFonts w:ascii="Times New Roman" w:hAnsi="Times New Roman"/>
                <w:b w:val="0"/>
                <w:sz w:val="24"/>
              </w:rPr>
              <w:t>⟨N⟩ monthly observations (well above the guideline of 60).</w:t>
            </w:r>
          </w:p>
        </w:tc>
      </w:tr>
      <w:tr>
        <w:tc>
          <w:tcPr>
            <w:tcW w:type="dxa" w:w="4514"/>
          </w:tcPr>
          <w:p>
            <w:pPr>
              <w:spacing w:after="40" w:line="240" w:lineRule="auto"/>
            </w:pPr>
            <w:r>
              <w:rPr>
                <w:rFonts w:ascii="Times New Roman" w:hAnsi="Times New Roman"/>
                <w:b w:val="0"/>
                <w:sz w:val="24"/>
              </w:rPr>
              <w:t>Variable(s) available</w:t>
            </w:r>
          </w:p>
        </w:tc>
        <w:tc>
          <w:tcPr>
            <w:tcW w:type="dxa" w:w="4514"/>
          </w:tcPr>
          <w:p>
            <w:pPr>
              <w:spacing w:after="40" w:line="240" w:lineRule="auto"/>
            </w:pPr>
            <w:r>
              <w:rPr>
                <w:rFonts w:ascii="Times New Roman" w:hAnsi="Times New Roman"/>
                <w:b w:val="0"/>
                <w:sz w:val="24"/>
              </w:rPr>
              <w:t>Monthly retail sales (亿元人民币, nominal); manufacturing PMI (monthly, ⟨start-end⟩) as candidate explanatory variable.</w:t>
            </w:r>
          </w:p>
        </w:tc>
      </w:tr>
      <w:tr>
        <w:tc>
          <w:tcPr>
            <w:tcW w:type="dxa" w:w="4514"/>
          </w:tcPr>
          <w:p>
            <w:pPr>
              <w:spacing w:after="40" w:line="240" w:lineRule="auto"/>
            </w:pPr>
            <w:r>
              <w:rPr>
                <w:rFonts w:ascii="Times New Roman" w:hAnsi="Times New Roman"/>
                <w:b w:val="0"/>
                <w:sz w:val="24"/>
              </w:rPr>
              <w:t>Missing values / known data-quality issues</w:t>
            </w:r>
          </w:p>
        </w:tc>
        <w:tc>
          <w:tcPr>
            <w:tcW w:type="dxa" w:w="4514"/>
          </w:tcPr>
          <w:p>
            <w:pPr>
              <w:spacing w:after="40" w:line="240" w:lineRule="auto"/>
            </w:pPr>
            <w:r>
              <w:rPr>
                <w:rFonts w:ascii="Times New Roman" w:hAnsi="Times New Roman"/>
                <w:b w:val="0"/>
                <w:sz w:val="24"/>
              </w:rPr>
              <w:t>⟨List: partly combined Jan-Feb reporting in some years; Spring Festival position drift; COVID-19 (2020) and Shanghai lockdown (2022) outliers; possible scope/methodology changes.⟩</w:t>
            </w:r>
          </w:p>
        </w:tc>
      </w:tr>
      <w:tr>
        <w:tc>
          <w:tcPr>
            <w:tcW w:type="dxa" w:w="4514"/>
          </w:tcPr>
          <w:p>
            <w:pPr>
              <w:spacing w:after="40" w:line="240" w:lineRule="auto"/>
            </w:pPr>
            <w:r>
              <w:rPr>
                <w:rFonts w:ascii="Times New Roman" w:hAnsi="Times New Roman"/>
                <w:b w:val="0"/>
                <w:sz w:val="24"/>
              </w:rPr>
              <w:t>Seasonality check</w:t>
            </w:r>
          </w:p>
        </w:tc>
        <w:tc>
          <w:tcPr>
            <w:tcW w:type="dxa" w:w="4514"/>
          </w:tcPr>
          <w:p>
            <w:pPr>
              <w:spacing w:after="40" w:line="240" w:lineRule="auto"/>
            </w:pPr>
            <w:r>
              <w:rPr>
                <w:rFonts w:ascii="Times New Roman" w:hAnsi="Times New Roman"/>
                <w:b w:val="0"/>
                <w:sz w:val="24"/>
              </w:rPr>
              <w:t>12-month cycle, about ⟨N/12⟩ complete seasonal cycles (guideline: at least 4).</w:t>
            </w:r>
          </w:p>
        </w:tc>
      </w:tr>
      <w:tr>
        <w:tc>
          <w:tcPr>
            <w:tcW w:type="dxa" w:w="4514"/>
          </w:tcPr>
          <w:p>
            <w:pPr>
              <w:spacing w:after="40" w:line="240" w:lineRule="auto"/>
            </w:pPr>
            <w:r>
              <w:rPr>
                <w:rFonts w:ascii="Times New Roman" w:hAnsi="Times New Roman"/>
                <w:b w:val="0"/>
                <w:sz w:val="24"/>
              </w:rPr>
              <w:t>Legal / ethical suitability</w:t>
            </w:r>
          </w:p>
        </w:tc>
        <w:tc>
          <w:tcPr>
            <w:tcW w:type="dxa" w:w="4514"/>
          </w:tcPr>
          <w:p>
            <w:pPr>
              <w:spacing w:after="40" w:line="240" w:lineRule="auto"/>
            </w:pPr>
            <w:r>
              <w:rPr>
                <w:rFonts w:ascii="Times New Roman" w:hAnsi="Times New Roman"/>
                <w:b w:val="0"/>
                <w:sz w:val="24"/>
              </w:rPr>
              <w:t>Public statistical releases by a national statistics office; suitable for non-commercial academic use.</w:t>
            </w:r>
          </w:p>
        </w:tc>
      </w:tr>
    </w:tbl>
    <w:p>
      <w:pPr>
        <w:spacing w:line="276" w:lineRule="auto" w:after="120" w:before="0"/>
      </w:pPr>
    </w:p>
    <w:p>
      <w:pPr>
        <w:spacing w:line="276" w:lineRule="auto" w:after="120" w:before="0"/>
      </w:pPr>
      <w:r>
        <w:rPr>
          <w:rFonts w:ascii="Times New Roman" w:hAnsi="Times New Roman"/>
          <w:b w:val="0"/>
          <w:sz w:val="24"/>
        </w:rPr>
        <w:t>Observations are collected at a regular monthly interval, and the primary series contains ⟨N⟩ observations and about ⟨N/12⟩ complete seasonal cycles (guidelines: at least 60 observations and 4 seasonal cycles). The data source is clearly identified, credible, and appropriate for academic use.</w:t>
      </w:r>
    </w:p>
    <w:p>
      <w:pPr>
        <w:spacing w:line="276" w:lineRule="auto" w:after="120" w:before="0"/>
      </w:pPr>
      <w:r>
        <w:rPr>
          <w:rFonts w:ascii="Times New Roman" w:hAnsi="Times New Roman"/>
          <w:b/>
          <w:sz w:val="24"/>
        </w:rPr>
        <w:t>3. Main Features of the Series</w:t>
      </w:r>
    </w:p>
    <w:p>
      <w:pPr>
        <w:spacing w:line="276" w:lineRule="auto" w:after="120" w:before="0"/>
      </w:pPr>
      <w:r>
        <w:rPr>
          <w:rFonts w:ascii="Times New Roman" w:hAnsi="Times New Roman"/>
          <w:b w:val="0"/>
          <w:sz w:val="24"/>
        </w:rPr>
        <w:t>&lt;INSERT Figure 1: time plot of monthly retail sales (logged), with 2020-01/02 and 2022-04 annotated.&gt;</w:t>
      </w:r>
    </w:p>
    <w:p>
      <w:pPr>
        <w:spacing w:line="276" w:lineRule="auto" w:after="120" w:before="0"/>
      </w:pPr>
      <w:r>
        <w:rPr>
          <w:rFonts w:ascii="Times New Roman" w:hAnsi="Times New Roman"/>
          <w:b w:val="0"/>
          <w:sz w:val="24"/>
        </w:rPr>
        <w:t>Figure 1. Monthly total retail sales of consumer goods in China.</w:t>
      </w:r>
    </w:p>
    <w:p>
      <w:pPr>
        <w:spacing w:line="276" w:lineRule="auto" w:after="120" w:before="0"/>
        <w:ind w:left="360"/>
      </w:pPr>
      <w:r>
        <w:rPr>
          <w:rFonts w:ascii="Times New Roman" w:hAnsi="Times New Roman"/>
          <w:b w:val="0"/>
          <w:sz w:val="24"/>
        </w:rPr>
        <w:t>Level and trend: ⟨2-3 sentences on the long-run path and whether variability grows with the level, motivating a log or Box-Cox transformation.⟩</w:t>
      </w:r>
    </w:p>
    <w:p>
      <w:pPr>
        <w:spacing w:line="276" w:lineRule="auto" w:after="120" w:before="0"/>
        <w:ind w:left="360"/>
      </w:pPr>
      <w:r>
        <w:rPr>
          <w:rFonts w:ascii="Times New Roman" w:hAnsi="Times New Roman"/>
          <w:b w:val="0"/>
          <w:sz w:val="24"/>
        </w:rPr>
        <w:t>Within-year seasonality: ⟨peak month(s), trough month(s), and approximate magnitude of the seasonal swing.⟩</w:t>
      </w:r>
    </w:p>
    <w:p>
      <w:pPr>
        <w:spacing w:line="276" w:lineRule="auto" w:after="120" w:before="0"/>
        <w:ind w:left="360"/>
      </w:pPr>
      <w:r>
        <w:rPr>
          <w:rFonts w:ascii="Times New Roman" w:hAnsi="Times New Roman"/>
          <w:b w:val="0"/>
          <w:sz w:val="24"/>
        </w:rPr>
        <w:t>Stability of the seasonal pattern: ⟨whether the January-February balance shifts noticeably from year to year, reflecting the lunar calendar.⟩</w:t>
      </w:r>
    </w:p>
    <w:p>
      <w:pPr>
        <w:spacing w:line="276" w:lineRule="auto" w:after="120" w:before="0"/>
      </w:pPr>
      <w:r>
        <w:rPr>
          <w:rFonts w:ascii="Times New Roman" w:hAnsi="Times New Roman"/>
          <w:b/>
          <w:sz w:val="24"/>
        </w:rPr>
        <w:t>4. Potential Data-Quality Issues</w:t>
      </w:r>
    </w:p>
    <w:p>
      <w:pPr>
        <w:spacing w:line="276" w:lineRule="auto" w:after="120" w:before="0"/>
        <w:ind w:left="360"/>
      </w:pPr>
      <w:r>
        <w:rPr>
          <w:rFonts w:ascii="Times New Roman" w:hAnsi="Times New Roman"/>
          <w:b w:val="0"/>
          <w:sz w:val="24"/>
        </w:rPr>
        <w:t>Missing months: ⟨months that are absent or only published as Jan-Feb combined, with years; planned treatment (treat as missing rather than zero, or reconstruct/truncate).⟩</w:t>
      </w:r>
    </w:p>
    <w:p>
      <w:pPr>
        <w:spacing w:line="276" w:lineRule="auto" w:after="120" w:before="0"/>
        <w:ind w:left="360"/>
      </w:pPr>
      <w:r>
        <w:rPr>
          <w:rFonts w:ascii="Times New Roman" w:hAnsi="Times New Roman"/>
          <w:b w:val="0"/>
          <w:sz w:val="24"/>
        </w:rPr>
        <w:t>Duplicated dates: ⟨whether repeating dates arise when merging tables or versions; how duplicates were identified and resolved.⟩</w:t>
      </w:r>
    </w:p>
    <w:p>
      <w:pPr>
        <w:spacing w:line="276" w:lineRule="auto" w:after="120" w:before="0"/>
        <w:ind w:left="360"/>
      </w:pPr>
      <w:r>
        <w:rPr>
          <w:rFonts w:ascii="Times New Roman" w:hAnsi="Times New Roman"/>
          <w:b w:val="0"/>
          <w:sz w:val="24"/>
        </w:rPr>
        <w:t>Irregular timing: the lunar New Year shifts the effective season position between January and February, so fixed monthly seasonal factors are only approximate.</w:t>
      </w:r>
    </w:p>
    <w:p>
      <w:pPr>
        <w:spacing w:line="276" w:lineRule="auto" w:after="120" w:before="0"/>
        <w:ind w:left="360"/>
      </w:pPr>
      <w:r>
        <w:rPr>
          <w:rFonts w:ascii="Times New Roman" w:hAnsi="Times New Roman"/>
          <w:b w:val="0"/>
          <w:sz w:val="24"/>
        </w:rPr>
        <w:t>Outlying observations: ⟨2020-01/02 and 2022-04⟩ sharp movements reflect real disruptions (COVID-19 control measures) and will be retained and interpreted as genuine events rather than removed as errors.</w:t>
      </w:r>
    </w:p>
    <w:p>
      <w:pPr>
        <w:spacing w:line="276" w:lineRule="auto" w:after="120" w:before="0"/>
      </w:pPr>
      <w:r>
        <w:rPr>
          <w:rFonts w:ascii="Times New Roman" w:hAnsi="Times New Roman"/>
          <w:b w:val="0"/>
          <w:sz w:val="24"/>
        </w:rPr>
        <w:t>Handling principle: ⟨state one sentence, e.g., retain real outliers with interpretation; treat genuinely missing months as missing; validate any imputation against the published cumulative series.⟩</w:t>
      </w:r>
    </w:p>
    <w:p>
      <w:pPr>
        <w:spacing w:line="276" w:lineRule="auto" w:after="120" w:before="0"/>
      </w:pPr>
      <w:r>
        <w:rPr>
          <w:rFonts w:ascii="Times New Roman" w:hAnsi="Times New Roman"/>
          <w:b/>
          <w:sz w:val="24"/>
        </w:rPr>
        <w:t>5. Analysis Goals and Preliminary Analysis Plan</w:t>
      </w:r>
    </w:p>
    <w:p>
      <w:pPr>
        <w:spacing w:line="276" w:lineRule="auto" w:after="120" w:before="0"/>
      </w:pPr>
      <w:r>
        <w:rPr>
          <w:rFonts w:ascii="Times New Roman" w:hAnsi="Times New Roman"/>
          <w:b w:val="0"/>
          <w:sz w:val="24"/>
        </w:rPr>
        <w:t>Analysis goals:</w:t>
      </w:r>
    </w:p>
    <w:p>
      <w:pPr>
        <w:spacing w:line="276" w:lineRule="auto" w:after="120" w:before="0"/>
        <w:ind w:left="360"/>
      </w:pPr>
      <w:r>
        <w:rPr>
          <w:rFonts w:ascii="Times New Roman" w:hAnsi="Times New Roman"/>
          <w:b w:val="0"/>
          <w:sz w:val="24"/>
        </w:rPr>
        <w:t>Understand the temporal structure of the series through plots, ACF/PACF, stationarity tests, and transformation and differencing decisions that are statistically justified.</w:t>
      </w:r>
    </w:p>
    <w:p>
      <w:pPr>
        <w:spacing w:line="276" w:lineRule="auto" w:after="120" w:before="0"/>
        <w:ind w:left="360"/>
      </w:pPr>
      <w:r>
        <w:rPr>
          <w:rFonts w:ascii="Times New Roman" w:hAnsi="Times New Roman"/>
          <w:b w:val="0"/>
          <w:sz w:val="24"/>
        </w:rPr>
        <w:t>Construct and compare suitable forecasting models --- simple benchmarks, a seasonal ARIMA model, and an extended dynamic-regression specification that accounts for the lunar New Year --- on out-of-sample performance.</w:t>
      </w:r>
    </w:p>
    <w:p>
      <w:pPr>
        <w:spacing w:line="276" w:lineRule="auto" w:after="120" w:before="0"/>
        <w:ind w:left="360"/>
      </w:pPr>
      <w:r>
        <w:rPr>
          <w:rFonts w:ascii="Times New Roman" w:hAnsi="Times New Roman"/>
          <w:b w:val="0"/>
          <w:sz w:val="24"/>
        </w:rPr>
        <w:t>Produce six-month-ahead forecasts with prediction intervals and discuss their uncertainty and practical limits.</w:t>
      </w:r>
    </w:p>
    <w:p>
      <w:pPr>
        <w:spacing w:line="276" w:lineRule="auto" w:after="120" w:before="0"/>
      </w:pPr>
      <w:r>
        <w:rPr>
          <w:rFonts w:ascii="Times New Roman" w:hAnsi="Times New Roman"/>
          <w:b w:val="0"/>
          <w:sz w:val="24"/>
        </w:rPr>
        <w:t>Preliminary analysis plan:</w:t>
      </w:r>
    </w:p>
    <w:p>
      <w:pPr>
        <w:spacing w:line="276" w:lineRule="auto" w:after="120" w:before="0"/>
      </w:pPr>
      <w:r>
        <w:rPr>
          <w:rFonts w:ascii="Times New Roman" w:hAnsi="Times New Roman"/>
          <w:b w:val="0"/>
          <w:sz w:val="24"/>
        </w:rPr>
        <w:t>(a) Preprocessing and structural identification. Stationarity tests, variance-stabilizing transformation, and seasonal differencing, with choices justified by ACF/PACF of the transformed and differenced series.</w:t>
      </w:r>
    </w:p>
    <w:p>
      <w:pPr>
        <w:spacing w:line="276" w:lineRule="auto" w:after="120" w:before="0"/>
      </w:pPr>
      <w:r>
        <w:rPr>
          <w:rFonts w:ascii="Times New Roman" w:hAnsi="Times New Roman"/>
          <w:b w:val="0"/>
          <w:sz w:val="24"/>
        </w:rPr>
        <w:t>(b) Candidate models. Simple benchmarks (historical mean, &lt;naïve&gt;, and &lt;seasonal-naïve&gt;); a seasonal ARIMA model (p,d,q)×(P,D,Q)₁₂ with orders selected by ACF/PACF, AICc, and residual diagnostics; and a dynamic-regression extension that incorporates calendar variables for the lunar New Year position and PMI as an explanatory variable. One supplementary method not central to the course (e.g., ETS or Theta) will be reported as a robustness check.</w:t>
      </w:r>
    </w:p>
    <w:p>
      <w:pPr>
        <w:spacing w:line="276" w:lineRule="auto" w:after="120" w:before="0"/>
      </w:pPr>
      <w:r>
        <w:rPr>
          <w:rFonts w:ascii="Times New Roman" w:hAnsi="Times New Roman"/>
          <w:b w:val="0"/>
          <w:sz w:val="24"/>
        </w:rPr>
        <w:t>(c) Evaluation and output. Rolling-origin out-of-sample evaluation at horizon h = 6 using MAE, RMSE and MASE on a common test set; Ljung-Box tests and residual ACF/PACF as diagnostics; final six-month point forecasts with 80% and 95% prediction intervals, followed by a discussion of interval width and practical usability.</w:t>
      </w:r>
    </w:p>
    <w:p>
      <w:pPr>
        <w:spacing w:line="276" w:lineRule="auto" w:after="120" w:before="0"/>
      </w:pPr>
      <w:r>
        <w:rPr>
          <w:rFonts w:ascii="Times New Roman" w:hAnsi="Times New Roman"/>
          <w:b/>
          <w:sz w:val="24"/>
        </w:rPr>
        <w:t>References</w:t>
      </w:r>
    </w:p>
    <w:p>
      <w:pPr>
        <w:spacing w:line="276" w:lineRule="auto" w:after="120" w:before="0"/>
      </w:pPr>
      <w:r>
        <w:rPr>
          <w:rFonts w:ascii="Times New Roman" w:hAnsi="Times New Roman"/>
          <w:b w:val="0"/>
          <w:sz w:val="24"/>
        </w:rPr>
        <w:t>National Bureau of Statistics of China. Statistics and Methodology for Total Retail Sales of Consumer Goods. ⟨link, retrieved date⟩.</w:t>
      </w:r>
    </w:p>
    <w:p>
      <w:pPr>
        <w:spacing w:line="276" w:lineRule="auto" w:after="120" w:before="0"/>
      </w:pPr>
      <w:r>
        <w:rPr>
          <w:rFonts w:ascii="Times New Roman" w:hAnsi="Times New Roman"/>
          <w:b w:val="0"/>
          <w:sz w:val="24"/>
        </w:rPr>
        <w:t>National Bureau of Statistics of China. Manufacturing PMI -- Methodology and Release Calendar. ⟨link, retrieved date⟩.</w:t>
      </w:r>
    </w:p>
    <w:p>
      <w:pPr>
        <w:spacing w:line="276" w:lineRule="auto" w:after="120" w:before="0"/>
      </w:pPr>
      <w:r>
        <w:rPr>
          <w:rFonts w:ascii="Times New Roman" w:hAnsi="Times New Roman"/>
          <w:b w:val="0"/>
          <w:sz w:val="24"/>
        </w:rPr>
        <w:t>Hyndman, R. J., &amp; Athanasopoulos, G. (2021). Forecasting: Principles and Practice (3rd ed.). OTexts.</w:t>
      </w:r>
    </w:p>
    <w:p>
      <w:pPr>
        <w:spacing w:line="276" w:lineRule="auto" w:after="120" w:before="0"/>
      </w:pPr>
      <w:r>
        <w:rPr>
          <w:rFonts w:ascii="Times New Roman" w:hAnsi="Times New Roman"/>
          <w:b w:val="0"/>
          <w:sz w:val="24"/>
        </w:rPr>
        <w:t>Shumway, R. H., &amp; Stoffer, D. S. (2017). Time Series Analysis and Its Applications (4th ed.). Springer.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