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n202011046367.9-一种多核系统中多线程调度方法装置及设备"/>
    <w:p>
      <w:pPr>
        <w:pStyle w:val="Heading2"/>
      </w:pPr>
      <w:r>
        <w:t xml:space="preserve">CN202011046367.9 </w:t>
      </w:r>
      <w:r>
        <w:rPr>
          <w:rFonts w:hint="eastAsia"/>
        </w:rPr>
        <w:t xml:space="preserve">一种多核系统中多线程调度方法、装置及设备</w:t>
      </w:r>
    </w:p>
    <w:bookmarkStart w:id="9" w:name="背景技术"/>
    <w:p>
      <w:pPr>
        <w:pStyle w:val="Heading3"/>
      </w:pPr>
      <w:r>
        <w:rPr>
          <w:rFonts w:hint="eastAsia"/>
        </w:rPr>
        <w:t xml:space="preserve">背景技术</w:t>
      </w:r>
    </w:p>
    <w:p>
      <w:pPr>
        <w:pStyle w:val="Compact"/>
        <w:numPr>
          <w:ilvl w:val="0"/>
          <w:numId w:val="1001"/>
        </w:numPr>
      </w:pPr>
      <w:r>
        <w:rPr>
          <w:rFonts w:hint="eastAsia"/>
        </w:rPr>
        <w:t xml:space="preserve">对于工业物联网这样实时性强的应用领域，时延限制是性能指标，更是功能性指标。对于很多关键性的动作，必须在有限的时间内完成，低时延的线程调度是十分必要的。在多核多线程系统中，可以通过并行加快执行速度。根据阿姆达尔定律，最大加速比是由程序中的顺序部分限制的。因此临界区成为多核系统性能的瓶颈。</w:t>
      </w:r>
    </w:p>
    <w:p>
      <w:pPr>
        <w:pStyle w:val="Compact"/>
        <w:numPr>
          <w:ilvl w:val="0"/>
          <w:numId w:val="1001"/>
        </w:numPr>
      </w:pPr>
      <w:r>
        <w:rPr>
          <w:rFonts w:hint="eastAsia"/>
        </w:rPr>
        <w:t xml:space="preserve">临界区指的是一个访问共用资源的程序片段，而这些共用资源有着无法同时被多个线程访问的特性。因此，当某一线程进入临界区时，其他需要进入该临界区的线程必须等待，有一些同步的机制必须在临界区段的进入点与离开点实现，以确保这些共用资源是被互斥获得使用，由此导致线程串行化，从而降低了并行度，影响系统性能。</w:t>
      </w:r>
    </w:p>
    <w:p>
      <w:pPr>
        <w:pStyle w:val="Compact"/>
        <w:numPr>
          <w:ilvl w:val="0"/>
          <w:numId w:val="1001"/>
        </w:numPr>
      </w:pPr>
      <w:r>
        <w:rPr>
          <w:rFonts w:hint="eastAsia"/>
        </w:rPr>
        <w:t xml:space="preserve">因此，设法在不影响线程正常运行的情况下，避免多个线程同时访问临界区，从而降低临界区影响，从而提高并行度，进而提高系统性能，是十分必要且具有重要意义。</w:t>
      </w:r>
    </w:p>
    <w:bookmarkEnd w:id="9"/>
    <w:bookmarkStart w:id="10" w:name="摘要"/>
    <w:p>
      <w:pPr>
        <w:pStyle w:val="Heading3"/>
      </w:pPr>
      <w:r>
        <w:rPr>
          <w:rFonts w:hint="eastAsia"/>
        </w:rPr>
        <w:t xml:space="preserve">摘要</w:t>
      </w:r>
    </w:p>
    <w:p>
      <w:pPr>
        <w:pStyle w:val="FirstParagraph"/>
      </w:pPr>
      <w:r>
        <w:rPr>
          <w:rFonts w:hint="eastAsia"/>
        </w:rPr>
        <w:t xml:space="preserve">本发明公开了一种多核系统中多线程调度方法，方法包括：根据各线程的依赖关系建立DAG图，根据各个核的就绪队列创建线程运行表、冲突线程表及线程队列；根据各个核的就绪队列中线程的运行变化，更新线程运行表、冲突线程表、线程队列及DAG图；在DAG有更新时，检测DAG图的入节点并将入节点的线程添加到全局就绪队列；根据线程运行表和冲突线程表统计线程个数，利用线程个数和时间片数量计算并行度；若并行度小于阈值，则根据线程运行表、冲突线程表及线程队列为全局就绪队列中的线程分配核和时间片得到新分配方案；根据新分配方案将全局就绪队列中的线程分配到相应核的就绪队列中以按照新分配方案调度运行，以避免多个线程同时访问临界区的问题。</w:t>
      </w:r>
      <w:r>
        <w:t xml:space="preserve"> </w:t>
      </w:r>
      <w:r>
        <w:t xml:space="preserve">image.png</w:t>
      </w:r>
    </w:p>
    <w:bookmarkEnd w:id="10"/>
    <w:bookmarkEnd w:id="11"/>
    <w:bookmarkStart w:id="14" w:name="cn201911213083.1-一种加载远程csv文件的方法和装置"/>
    <w:p>
      <w:pPr>
        <w:pStyle w:val="Heading2"/>
      </w:pPr>
      <w:r>
        <w:t xml:space="preserve">CN201911213083.1 </w:t>
      </w:r>
      <w:r>
        <w:rPr>
          <w:rFonts w:hint="eastAsia"/>
        </w:rPr>
        <w:t xml:space="preserve">一种加载远程csv文件的方法和装置</w:t>
      </w:r>
    </w:p>
    <w:bookmarkStart w:id="12" w:name="背景技术-1"/>
    <w:p>
      <w:pPr>
        <w:pStyle w:val="Heading3"/>
      </w:pPr>
      <w:r>
        <w:rPr>
          <w:rFonts w:hint="eastAsia"/>
        </w:rPr>
        <w:t xml:space="preserve">背景技术</w:t>
      </w:r>
    </w:p>
    <w:p>
      <w:pPr>
        <w:pStyle w:val="Compact"/>
        <w:numPr>
          <w:ilvl w:val="0"/>
          <w:numId w:val="1002"/>
        </w:numPr>
      </w:pPr>
      <w:r>
        <w:rPr>
          <w:rFonts w:hint="eastAsia"/>
        </w:rPr>
        <w:t xml:space="preserve">在科研和商业生产中，用户常常使用Excel等软件对表格数据进行定性和定量的分析。然而随着大数据时代的到来，常用的数据处理软件由于受到单机性能的限制，已经无法满足用户对大数据分析和处理的需求。这些大数据文件一般存放在远程的计算机上（例如某项web服务产生的1og文件），在不做特处理的情况下，用户需要使用安全外壳协议（Secure</w:t>
      </w:r>
      <w:r>
        <w:t xml:space="preserve"> </w:t>
      </w:r>
      <w:r>
        <w:rPr>
          <w:rFonts w:hint="eastAsia"/>
        </w:rPr>
        <w:t xml:space="preserve">Shell,ssh）登录到远程主机上查看和处理这些文件。而且这些文件由于其数据量庞大，很难被直接加载到内存中供用户查看，因此需要编写特的程序对其进行读取。</w:t>
      </w:r>
    </w:p>
    <w:p>
      <w:pPr>
        <w:pStyle w:val="Compact"/>
        <w:numPr>
          <w:ilvl w:val="0"/>
          <w:numId w:val="1002"/>
        </w:numPr>
      </w:pPr>
      <w:r>
        <w:t xml:space="preserve">Jupyter </w:t>
      </w:r>
      <w:r>
        <w:rPr>
          <w:rFonts w:hint="eastAsia"/>
        </w:rPr>
        <w:t xml:space="preserve">Notebook是一个利用浏览器对远程计算机进行访问和编程的工具。通过使用Jupyter</w:t>
      </w:r>
      <w:r>
        <w:t xml:space="preserve"> </w:t>
      </w:r>
      <w:r>
        <w:rPr>
          <w:rFonts w:hint="eastAsia"/>
        </w:rPr>
        <w:t xml:space="preserve">Notebook，用户可以不必登录到远程计算机上，而是直接在浏览器内对远程计算机上的文件进行打开和浏览。然而使用Jupyter</w:t>
      </w:r>
      <w:r>
        <w:t xml:space="preserve"> </w:t>
      </w:r>
      <w:r>
        <w:rPr>
          <w:rFonts w:hint="eastAsia"/>
        </w:rPr>
        <w:t xml:space="preserve">Notebook打开远程表格文件由于表格文件内容较多，加载时间较长，导致文件显示速度较慢。</w:t>
      </w:r>
    </w:p>
    <w:bookmarkEnd w:id="12"/>
    <w:bookmarkStart w:id="13" w:name="摘要-1"/>
    <w:p>
      <w:pPr>
        <w:pStyle w:val="Heading3"/>
      </w:pPr>
      <w:r>
        <w:rPr>
          <w:rFonts w:hint="eastAsia"/>
        </w:rPr>
        <w:t xml:space="preserve">摘要</w:t>
      </w:r>
    </w:p>
    <w:p>
      <w:pPr>
        <w:pStyle w:val="FirstParagraph"/>
      </w:pPr>
      <w:r>
        <w:rPr>
          <w:rFonts w:hint="eastAsia"/>
        </w:rPr>
        <w:t xml:space="preserve">本发明公开了一种加载远程csv文件的方法及装置。该方法包括：获取浏览器前端发送的文件打开请求；读取文件打开请求所指定文件的前M行数据以及文件打开请求所指定文件中数据的总行数，将前M行数据和总行数反馈给浏览器前端：获取浏览器前端发送的加载请求：根据加载请求读取目标位置的N行数据并反馈给浏览器前端。本发明的加载远程csv文件的方法和装置能够提高文件显示的速度。</w:t>
      </w:r>
      <w:r>
        <w:t xml:space="preserve"> </w:t>
      </w:r>
      <w:r>
        <w:t xml:space="preserve">image.png</w:t>
      </w:r>
    </w:p>
    <w:bookmarkEnd w:id="13"/>
    <w:bookmarkEnd w:id="14"/>
    <w:bookmarkStart w:id="16" w:name="cn202121995694.9-一种异构多处理器5g网关电路"/>
    <w:p>
      <w:pPr>
        <w:pStyle w:val="Heading2"/>
      </w:pPr>
      <w:r>
        <w:t xml:space="preserve">CN202121995694.9 </w:t>
      </w:r>
      <w:r>
        <w:rPr>
          <w:rFonts w:hint="eastAsia"/>
        </w:rPr>
        <w:t xml:space="preserve">一种异构多处理器5G网关电路</w:t>
      </w:r>
    </w:p>
    <w:bookmarkStart w:id="15" w:name="背景技术-2"/>
    <w:p>
      <w:pPr>
        <w:pStyle w:val="Heading3"/>
      </w:pPr>
      <w:r>
        <w:rPr>
          <w:rFonts w:hint="eastAsia"/>
        </w:rPr>
        <w:t xml:space="preserve">背景技术</w:t>
      </w:r>
    </w:p>
    <w:p>
      <w:pPr>
        <w:pStyle w:val="FirstParagraph"/>
      </w:pPr>
      <w:r>
        <w:rPr>
          <w:rFonts w:hint="eastAsia"/>
        </w:rPr>
        <w:t xml:space="preserve">随着物联网技术的不断发展，作物联网中核心设备的网关也在不断改进和优化。物联网网关用于实现终端设备与互联网的无缝连接，是连接终端设备与通信网络的纽带，智能化网关已经开始具有计算和分析功能。在工业物联网、车联网等多种应用场景中，要求智能化网关能够快速响应和处理复杂任务。但是由于现有技术存在的局限和产品成本的要求，经常出现可满足快速响应要求而无法满足复杂任务处理要求，或者可满足复杂任务处理要求却无法满足快速响应的要求。因此，如何能够使物联网网关兼顾响应速度和任务处理能力，成为本领域技术人员亟待解决的技术问题和始终研究的重点。</w:t>
      </w:r>
      <w:r>
        <w:t xml:space="preserve"> </w:t>
      </w:r>
      <w:r>
        <w:t xml:space="preserve">### </w:t>
      </w:r>
      <w:r>
        <w:rPr>
          <w:rFonts w:hint="eastAsia"/>
        </w:rPr>
        <w:t xml:space="preserve">摘要</w:t>
      </w:r>
      <w:r>
        <w:t xml:space="preserve"> </w:t>
      </w:r>
      <w:r>
        <w:rPr>
          <w:rFonts w:hint="eastAsia"/>
        </w:rPr>
        <w:t xml:space="preserve">本实用新型公开了一种异构多处理器5G网关电路，其包括5G通信模块、第一ARM处理器、第二ARM处理器及触摸屏等。5G通信模块与卡座或eSIM贴片卡连接。第一ARM处理器与5G通信模块通过第一USB总线或PCIe总线连接，第一ARM处理器为综合任务处理器。第二ARM处理器与第一ARM处理器通过第二USB总线、SPI总线、UART总线中至少一种总线连接。第二ARM处理器实时任务处理器。本实用新型通过第一ARM处理器进行复杂的数据处理、通过第二ARM处理器进行实时数据处理，以兼顾数据处理能力和实时性的要求，满足各种物联网设备对网关性能的要求。</w:t>
      </w:r>
      <w:r>
        <w:t xml:space="preserve"> </w:t>
      </w:r>
      <w:r>
        <w:t xml:space="preserve">image.png</w:t>
      </w:r>
    </w:p>
    <w:bookmarkEnd w:id="15"/>
    <w:bookmarkEnd w:id="16"/>
    <w:bookmarkStart w:id="18" w:name="cn202010066644.6-基于自然语言的工业机器人辅助编程方法"/>
    <w:p>
      <w:pPr>
        <w:pStyle w:val="Heading2"/>
      </w:pPr>
      <w:r>
        <w:t xml:space="preserve">CN202010066644.6 </w:t>
      </w:r>
      <w:r>
        <w:rPr>
          <w:rFonts w:hint="eastAsia"/>
        </w:rPr>
        <w:t xml:space="preserve">基于自然语言的工业机器人辅助编程方法</w:t>
      </w:r>
    </w:p>
    <w:bookmarkStart w:id="17" w:name="背景技术-3"/>
    <w:p>
      <w:pPr>
        <w:pStyle w:val="Heading3"/>
      </w:pPr>
      <w:r>
        <w:rPr>
          <w:rFonts w:hint="eastAsia"/>
        </w:rPr>
        <w:t xml:space="preserve">背景技术</w:t>
      </w:r>
    </w:p>
    <w:p>
      <w:pPr>
        <w:pStyle w:val="Compact"/>
        <w:numPr>
          <w:ilvl w:val="0"/>
          <w:numId w:val="1003"/>
        </w:numPr>
      </w:pPr>
      <w:r>
        <w:rPr>
          <w:rFonts w:hint="eastAsia"/>
        </w:rPr>
        <w:t xml:space="preserve">随着近几十年机器人技术的飞速发展，智能制造的理念深入人心。机械臂技术已经在工业生产环境中大量运用，协作式机械人融合人类</w:t>
      </w:r>
      <w:r>
        <w:t xml:space="preserve"> </w:t>
      </w:r>
      <w:r>
        <w:rPr>
          <w:rFonts w:hint="eastAsia"/>
        </w:rPr>
        <w:t xml:space="preserve">和机械设备的优势，在生产线上和工人紧密合作，可以显著提升生产</w:t>
      </w:r>
      <w:r>
        <w:t xml:space="preserve"> </w:t>
      </w:r>
      <w:r>
        <w:rPr>
          <w:rFonts w:hint="eastAsia"/>
        </w:rPr>
        <w:t xml:space="preserve">效率。</w:t>
      </w:r>
    </w:p>
    <w:p>
      <w:pPr>
        <w:pStyle w:val="Compact"/>
        <w:numPr>
          <w:ilvl w:val="0"/>
          <w:numId w:val="1003"/>
        </w:numPr>
      </w:pPr>
      <w:r>
        <w:rPr>
          <w:rFonts w:hint="eastAsia"/>
        </w:rPr>
        <w:t xml:space="preserve">目前所有的机械任务都要通过工程师精心设计和编码，才能辅助</w:t>
      </w:r>
      <w:r>
        <w:t xml:space="preserve"> </w:t>
      </w:r>
      <w:r>
        <w:rPr>
          <w:rFonts w:hint="eastAsia"/>
        </w:rPr>
        <w:t xml:space="preserve">和代替工人执行单一的机械性任务。工程师通常采用在线或离线编程</w:t>
      </w:r>
      <w:r>
        <w:t xml:space="preserve"> </w:t>
      </w:r>
      <w:r>
        <w:rPr>
          <w:rFonts w:hint="eastAsia"/>
        </w:rPr>
        <w:t xml:space="preserve">的方式编写机器人代码，然而这些编程方式过于耗时，时效性远不能</w:t>
      </w:r>
      <w:r>
        <w:t xml:space="preserve"> </w:t>
      </w:r>
      <w:r>
        <w:rPr>
          <w:rFonts w:hint="eastAsia"/>
        </w:rPr>
        <w:t xml:space="preserve">满足产品需求的变化。例如，编写大型车体电弧焊机器人程序需要耗</w:t>
      </w:r>
      <w:r>
        <w:t xml:space="preserve"> </w:t>
      </w:r>
      <w:r>
        <w:rPr>
          <w:rFonts w:hint="eastAsia"/>
        </w:rPr>
        <w:t xml:space="preserve">费八个月的时间，每个焊接节点的改动需要耗费半个月调试程序，这种高额的编程开销迫使中小企业无法在智能制造中受益。</w:t>
      </w:r>
    </w:p>
    <w:p>
      <w:pPr>
        <w:pStyle w:val="Compact"/>
        <w:numPr>
          <w:ilvl w:val="0"/>
          <w:numId w:val="1003"/>
        </w:numPr>
      </w:pPr>
      <w:r>
        <w:rPr>
          <w:rFonts w:hint="eastAsia"/>
        </w:rPr>
        <w:t xml:space="preserve">近年来不断有学者在机器人编程领域进行探索。手动编程是市面</w:t>
      </w:r>
      <w:r>
        <w:t xml:space="preserve"> </w:t>
      </w:r>
      <w:r>
        <w:rPr>
          <w:rFonts w:hint="eastAsia"/>
        </w:rPr>
        <w:t xml:space="preserve">上应用范围最广，使用频率最高的机器人编程工具。一般使用官方编</w:t>
      </w:r>
      <w:r>
        <w:t xml:space="preserve"> </w:t>
      </w:r>
      <w:r>
        <w:rPr>
          <w:rFonts w:hint="eastAsia"/>
        </w:rPr>
        <w:t xml:space="preserve">程界面，其编程语言带有早期编程语言特性，如ABB</w:t>
      </w:r>
      <w:r>
        <w:t xml:space="preserve"> RAPID,KUKA </w:t>
      </w:r>
      <w:r>
        <w:rPr>
          <w:rFonts w:hint="eastAsia"/>
        </w:rPr>
        <w:t xml:space="preserve">KRL等。但是在现有生产环境下，工程师需要花费高昂的时间成本</w:t>
      </w:r>
      <w:r>
        <w:t xml:space="preserve"> </w:t>
      </w:r>
      <w:r>
        <w:rPr>
          <w:rFonts w:hint="eastAsia"/>
        </w:rPr>
        <w:t xml:space="preserve">在该平台中为每一次制造任务编写代码，甚至其中包含大量重复或类似的代码。并且此种编码方式严格遵循固定的语言规范，不利于新手的快速学习和使用。</w:t>
      </w:r>
    </w:p>
    <w:p>
      <w:pPr>
        <w:pStyle w:val="Compact"/>
        <w:numPr>
          <w:ilvl w:val="0"/>
          <w:numId w:val="1003"/>
        </w:numPr>
      </w:pPr>
      <w:r>
        <w:rPr>
          <w:rFonts w:hint="eastAsia"/>
        </w:rPr>
        <w:t xml:space="preserve">CoBlox模块化编程方式（DavidWeintrop等人在2017年《Blockly</w:t>
      </w:r>
      <w:r>
        <w:t xml:space="preserve"> goes to </w:t>
      </w:r>
      <w:r>
        <w:rPr>
          <w:rFonts w:hint="eastAsia"/>
        </w:rPr>
        <w:t xml:space="preserve">work：Block-based</w:t>
      </w:r>
      <w:r>
        <w:t xml:space="preserve"> programming for industrial </w:t>
      </w:r>
      <w:r>
        <w:rPr>
          <w:rFonts w:hint="eastAsia"/>
        </w:rPr>
        <w:t xml:space="preserve">robots》中提出，Published</w:t>
      </w:r>
      <w:r>
        <w:t xml:space="preserve"> in:2017 IEEE Blocks and Beyond </w:t>
      </w:r>
      <w:r>
        <w:rPr>
          <w:rFonts w:hint="eastAsia"/>
        </w:rPr>
        <w:t xml:space="preserve">Workshop）</w:t>
      </w:r>
    </w:p>
    <w:p>
      <w:pPr>
        <w:pStyle w:val="Compact"/>
        <w:numPr>
          <w:ilvl w:val="0"/>
          <w:numId w:val="1003"/>
        </w:numPr>
      </w:pPr>
      <w:r>
        <w:rPr>
          <w:rFonts w:hint="eastAsia"/>
        </w:rPr>
        <w:t xml:space="preserve">另外，随着自然语言和人工智能在语言学方面的发展，学者在自</w:t>
      </w:r>
      <w:r>
        <w:t xml:space="preserve"> </w:t>
      </w:r>
      <w:r>
        <w:rPr>
          <w:rFonts w:hint="eastAsia"/>
        </w:rPr>
        <w:t xml:space="preserve">动编程领域也获得了喜人的进展，比如机器人通过神经网络解析人类</w:t>
      </w:r>
      <w:r>
        <w:t xml:space="preserve"> </w:t>
      </w:r>
      <w:r>
        <w:rPr>
          <w:rFonts w:hint="eastAsia"/>
        </w:rPr>
        <w:t xml:space="preserve">的语言或者动作，从而正确理解人类指令，执行任务。但是此类方法</w:t>
      </w:r>
      <w:r>
        <w:t xml:space="preserve"> </w:t>
      </w:r>
      <w:r>
        <w:rPr>
          <w:rFonts w:hint="eastAsia"/>
        </w:rPr>
        <w:t xml:space="preserve">仅输出机器人的行为和状态，并不提供工业工程师所需要的源代码。这种编程方式在工业生产中需要调整方案时，无法进行代码级别的离</w:t>
      </w:r>
      <w:r>
        <w:t xml:space="preserve"> </w:t>
      </w:r>
      <w:r>
        <w:rPr>
          <w:rFonts w:hint="eastAsia"/>
        </w:rPr>
        <w:t xml:space="preserve">线修改。因为不生成代码文本，也不利于相似代码在其他工程中的重</w:t>
      </w:r>
      <w:r>
        <w:t xml:space="preserve"> </w:t>
      </w:r>
      <w:r>
        <w:rPr>
          <w:rFonts w:hint="eastAsia"/>
        </w:rPr>
        <w:t xml:space="preserve">利用。</w:t>
      </w:r>
    </w:p>
    <w:p>
      <w:pPr>
        <w:pStyle w:val="Compact"/>
        <w:numPr>
          <w:ilvl w:val="0"/>
          <w:numId w:val="1003"/>
        </w:numPr>
      </w:pPr>
      <w:r>
        <w:rPr>
          <w:rFonts w:hint="eastAsia"/>
        </w:rPr>
        <w:t xml:space="preserve">在这种情形下，现有的编程技术因其固有的缺陷，无法契合工业智能制造的需要。</w:t>
      </w:r>
      <w:r>
        <w:t xml:space="preserve"> </w:t>
      </w:r>
      <w:r>
        <w:t xml:space="preserve">### </w:t>
      </w:r>
      <w:r>
        <w:rPr>
          <w:rFonts w:hint="eastAsia"/>
        </w:rPr>
        <w:t xml:space="preserve">摘要</w:t>
      </w:r>
      <w:r>
        <w:t xml:space="preserve"> </w:t>
      </w:r>
      <w:r>
        <w:rPr>
          <w:rFonts w:hint="eastAsia"/>
        </w:rPr>
        <w:t xml:space="preserve">本发明提供一种基于自然语言的工业机器人辅助编程方法，根据语言指令和环境图像生成相应的机器人执行代码。本发明分为三部分：</w:t>
      </w:r>
    </w:p>
    <w:p>
      <w:pPr>
        <w:pStyle w:val="Compact"/>
        <w:numPr>
          <w:ilvl w:val="0"/>
          <w:numId w:val="1003"/>
        </w:numPr>
      </w:pPr>
      <w:r>
        <w:rPr>
          <w:rFonts w:hint="eastAsia"/>
        </w:rPr>
        <w:t xml:space="preserve">分别使用带长短时记忆（LSTM）的双向循环神经网络（Bi-RNN）和快速区域卷积神经网络（F-RCNN）</w:t>
      </w:r>
      <w:r>
        <w:t xml:space="preserve"> </w:t>
      </w:r>
      <w:r>
        <w:rPr>
          <w:rFonts w:hint="eastAsia"/>
        </w:rPr>
        <w:t xml:space="preserve">提取语言指令和工厂环境的特征。</w:t>
      </w:r>
    </w:p>
    <w:p>
      <w:pPr>
        <w:pStyle w:val="Compact"/>
        <w:numPr>
          <w:ilvl w:val="0"/>
          <w:numId w:val="1003"/>
        </w:numPr>
      </w:pPr>
      <w:r>
        <w:rPr>
          <w:rFonts w:hint="eastAsia"/>
        </w:rPr>
        <w:t xml:space="preserve">提出一种“多注意力机制”模型和机器翻译的对齐算法将环境中的物体与指令正确匹配，从而识别指定的物体并输出放置该物体的坐标点。</w:t>
      </w:r>
    </w:p>
    <w:p>
      <w:pPr>
        <w:pStyle w:val="Compact"/>
        <w:numPr>
          <w:ilvl w:val="0"/>
          <w:numId w:val="1003"/>
        </w:numPr>
      </w:pPr>
      <w:r>
        <w:rPr>
          <w:rFonts w:hint="eastAsia"/>
        </w:rPr>
        <w:t xml:space="preserve">使用上述模型输出的结果配合CoBlox模块化编程方式生成操作的机器人代码。本发明采用的“多注意力机制”模型提高识别精度，解决了当前方法在工业环境中无法精确识别物体的问题。模块化编程技术方案简化工程师编程复杂度，有效提升开发效率。</w:t>
      </w:r>
    </w:p>
    <w:bookmarkEnd w:id="17"/>
    <w:bookmarkEnd w:id="18"/>
    <w:bookmarkStart w:id="23" w:name="cn201911044384.6-一种双流神经网络时序动作定位方法"/>
    <w:p>
      <w:pPr>
        <w:pStyle w:val="Heading2"/>
      </w:pPr>
      <w:r>
        <w:t xml:space="preserve">CN201911044384.6 </w:t>
      </w:r>
      <w:r>
        <w:rPr>
          <w:rFonts w:hint="eastAsia"/>
        </w:rPr>
        <w:t xml:space="preserve">一种双流神经网络时序动作定位方法</w:t>
      </w:r>
    </w:p>
    <w:bookmarkStart w:id="22" w:name="背景技术-4"/>
    <w:p>
      <w:pPr>
        <w:pStyle w:val="Heading3"/>
      </w:pPr>
      <w:r>
        <w:rPr>
          <w:rFonts w:hint="eastAsia"/>
        </w:rPr>
        <w:t xml:space="preserve">背景技术</w:t>
      </w:r>
    </w:p>
    <w:p>
      <w:pPr>
        <w:pStyle w:val="Compact"/>
        <w:numPr>
          <w:ilvl w:val="0"/>
          <w:numId w:val="1004"/>
        </w:numPr>
      </w:pPr>
      <w:r>
        <w:rPr>
          <w:rFonts w:hint="eastAsia"/>
        </w:rPr>
        <w:t xml:space="preserve">随着智能设备的推广以及智慧城市的建设，各类摄像头已成为监控安防、自动驾驶、智慧医疗等领域不可或缺的硬件设备。面对每时每刻产生的海量视频，人工处理非常困难且效率低不能满足实际的应用需求，视频分析领域应运而生。该领域主要研究视频中的目标分割、目标追踪、目标识别、动作识别、语义分析、动作定位等颇具挑战的难题。</w:t>
      </w:r>
    </w:p>
    <w:p>
      <w:pPr>
        <w:pStyle w:val="Compact"/>
        <w:numPr>
          <w:ilvl w:val="0"/>
          <w:numId w:val="1004"/>
        </w:numPr>
      </w:pPr>
      <w:r>
        <w:rPr>
          <w:rFonts w:hint="eastAsia"/>
        </w:rPr>
        <w:t xml:space="preserve">时序动作定位是指定位视频中目标动作出现的时间，而时空动作定位是指定位视频中的目标动作出现的时间以及实施动作的对象。时序动作定位任务一般分为两个阶段：搜索候选片段和识别候选片段动作：定位不仅要求标注动作发生的时间片段还需要识别动作的种类。例如，定位一名运动员短跑动作的视频即需要确定跑步片段的开始时间和结束时间，同时识别该片段的动作种类为跑步。相比图像分析领域，视频分析还需要考虑视频帧间的时序关系，涉及更为复杂的矩阵和张量计算：而传统视频分析算法主要采用人工特征如轨迹特征并用分类器如支持向量机进行动作识别，不能提供端到端的学习，使得其性能受限。</w:t>
      </w:r>
    </w:p>
    <w:p>
      <w:pPr>
        <w:pStyle w:val="Compact"/>
        <w:numPr>
          <w:ilvl w:val="0"/>
          <w:numId w:val="1004"/>
        </w:numPr>
      </w:pPr>
      <w:r>
        <w:rPr>
          <w:rFonts w:hint="eastAsia"/>
        </w:rPr>
        <w:t xml:space="preserve">近年来，采用GPU提供高性能并行计算的硬件逐步涌现，促使以卷积神经网络（CNN:Convolutional</w:t>
      </w:r>
      <w:r>
        <w:t xml:space="preserve"> Neural </w:t>
      </w:r>
      <w:r>
        <w:rPr>
          <w:rFonts w:hint="eastAsia"/>
        </w:rPr>
        <w:t xml:space="preserve">Network）为研究对象的深度学习领域飞速发展，为解决上述问题提供了有效途径。例如，双流卷积神经网络结合图像处理中的光流算法与卷积神经网络提取更优质的时序特征后，采用滑窗算法搜索候选动作片段和支持向量机识别片段动作：片段卷积神经网络（S-CNN:Segment-CNNs）以三维卷积神经网络（C3D）为骨干结构先以滑窗算法搜索候选动作片段，然后以神经网络分类器识别候选动作片段，完成时序动作定位任务；结构化片段网络对视频以单元为单位提取CNN特征，通过结构时间金字塔池化获得由多个单元特征组成的片段特征，最后由线性分类器进行片段动作分类。</w:t>
      </w:r>
    </w:p>
    <w:p>
      <w:pPr>
        <w:pStyle w:val="Compact"/>
        <w:numPr>
          <w:ilvl w:val="0"/>
          <w:numId w:val="1004"/>
        </w:numPr>
      </w:pPr>
      <w:r>
        <w:rPr>
          <w:rFonts w:hint="eastAsia"/>
        </w:rPr>
        <w:t xml:space="preserve">然而，已有的时序动作定位方法的不足主要表现在以下方面：第一，在搜索候选片段阶段，早期选择的滑窗算法以及后来的结构时间金字塔池化法都会对视频进行不同尺度的重复扫描，极大地增加了计算开销：第二，在识别候选片段动作阶段，未充分考虑背景（不属于任何动作类）干扰导致识别结果不准确，许多方法对包含大量冗余信息的全部视频片段进行处理造成繁重的计算量：第三，很多方法定位的动作片段存在时序上的重叠，需要对其进行后处理（如非极大值抑制），这也说明其在搜索候选片段时己有冗余信息。由此迫切需要设计一种既能减少冗余计算开销又能提高时序动作定位性能的方法。</w:t>
      </w:r>
      <w:r>
        <w:t xml:space="preserve"> </w:t>
      </w:r>
      <w:r>
        <w:t xml:space="preserve">### </w:t>
      </w:r>
      <w:r>
        <w:rPr>
          <w:rFonts w:hint="eastAsia"/>
        </w:rPr>
        <w:t xml:space="preserve">摘要</w:t>
      </w:r>
      <w:r>
        <w:t xml:space="preserve"> </w:t>
      </w:r>
      <w:r>
        <w:rPr>
          <w:rFonts w:hint="eastAsia"/>
        </w:rPr>
        <w:t xml:space="preserve">本发明公开了一种双流神经网络时序动作定位方法。本发明方法首先对视频采样处理后获得视频帧流图像序列和视频光流图像序列；其次，构建双流神经网络边界分刮模型，以完整视频的帧流以及光流图像序列为输入，以视频动作的边界信息为输出：再次，构建稀疏采样动作识别模型，输入为视频片段的帧流以及光流图像序列的稀疏采样序列，输出为视频片段对各动作类别（含背景）的概率。通过稀疏采样可以大为减少视频片段的冗余特征提取：采用边界分割策略搜索候选片段，规避了不同尺度下视频片段被重复处理的问题，抑制了后续候选片段在动作识别阶段中的背景类干扰，提高了时序动作定位的准确率。</w:t>
      </w:r>
      <w:r>
        <w:t xml:space="preserve"> </w:t>
      </w:r>
      <w:r>
        <w:drawing>
          <wp:inline>
            <wp:extent cx="3035300" cy="4140200"/>
            <wp:effectExtent b="0" l="0" r="0" t="0"/>
            <wp:docPr descr="image.png" title="" id="20" name="Picture"/>
            <a:graphic>
              <a:graphicData uri="http://schemas.openxmlformats.org/drawingml/2006/picture">
                <pic:pic>
                  <pic:nvPicPr>
                    <pic:cNvPr descr="https://raw.githubusercontent.com/GoodNightmj/PicGo/master/202509121013282.png" id="21" name="Picture"/>
                    <pic:cNvPicPr>
                      <a:picLocks noChangeArrowheads="1" noChangeAspect="1"/>
                    </pic:cNvPicPr>
                  </pic:nvPicPr>
                  <pic:blipFill>
                    <a:blip r:embed="rId19"/>
                    <a:stretch>
                      <a:fillRect/>
                    </a:stretch>
                  </pic:blipFill>
                  <pic:spPr bwMode="auto">
                    <a:xfrm>
                      <a:off x="0" y="0"/>
                      <a:ext cx="3035300" cy="4140200"/>
                    </a:xfrm>
                    <a:prstGeom prst="rect">
                      <a:avLst/>
                    </a:prstGeom>
                    <a:noFill/>
                    <a:ln w="9525">
                      <a:noFill/>
                      <a:headEnd/>
                      <a:tailEnd/>
                    </a:ln>
                  </pic:spPr>
                </pic:pic>
              </a:graphicData>
            </a:graphic>
          </wp:inline>
        </w:drawing>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2025-09-12T02:35:50Z</dcterms:created>
  <dcterms:modified xsi:type="dcterms:W3CDTF">2025-09-12T02:35:50Z</dcterms:modified>
</cp:coreProperties>
</file>

<file path=docProps/custom.xml><?xml version="1.0" encoding="utf-8"?>
<Properties xmlns="http://schemas.openxmlformats.org/officeDocument/2006/custom-properties" xmlns:vt="http://schemas.openxmlformats.org/officeDocument/2006/docPropsVTypes"/>
</file>