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ADB79B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120" w:line="240" w:lineRule="auto"/>
        <w:jc w:val="center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特征汇总</w:t>
      </w:r>
      <w:bookmarkStart w:id="0" w:name="_GoBack"/>
      <w:bookmarkEnd w:id="0"/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表</w:t>
      </w:r>
    </w:p>
    <w:p w14:paraId="1BE13D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color w:val="646464"/>
          <w:sz w:val="24"/>
          <w:szCs w:val="24"/>
        </w:rPr>
        <w:t>数据：65,270 次评估（100 seeds）+ v10b NUPACK 17 子块独立验证（30 seeds）</w:t>
      </w:r>
    </w:p>
    <w:p w14:paraId="0A75F6D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after="40" w:line="240" w:lineRule="auto"/>
        <w:jc w:val="center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color w:val="646464"/>
          <w:sz w:val="24"/>
          <w:szCs w:val="24"/>
        </w:rPr>
        <w:t>用法：快速查阅每个特征的价值、维度、计算方法。按「有价值 → 负价值 → 无影响」排序</w:t>
      </w:r>
    </w:p>
    <w:p w14:paraId="77195A3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4E23089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指标说明</w:t>
      </w:r>
    </w:p>
    <w:p w14:paraId="70AEB29D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>增量Δ：该特征叠加到「mutation_only + structure_role + window_dimer（303d）」基线之上，带来的 Spearman 变化量（30-seed 或 100-seed 均值）。正值 = 有用，负值 = 有害，接近 0 = 无影响。</w:t>
      </w:r>
    </w:p>
    <w:p w14:paraId="575C8AB1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>独立Sp：该特征单独使用（不叠加其他特征）训练模型得到的 Spearman。反映特征自身的判别能力。标注「—」表示该特征（如 NUPACK 子块）从未单独训练，只有叠加增量数据。</w:t>
      </w:r>
    </w:p>
    <w:p w14:paraId="0695715F">
      <w:pPr>
        <w:pStyle w:val="16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>计算成本：标注该特征需要「免费」（直接从 141nt 序列计算）还是「NUPACK」（需调用 NUPACK 软件，秒级）。</w:t>
      </w:r>
    </w:p>
    <w:p w14:paraId="30E90078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00" w:after="12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基线说明</w:t>
      </w:r>
    </w:p>
    <w:p w14:paraId="72EF301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 w:val="0"/>
          <w:sz w:val="24"/>
          <w:szCs w:val="24"/>
        </w:rPr>
        <w:t>「mutation_only + structure_role + window_dimer（303d）」被选为基线（baseline），是特征进化路径上的最优，再加任何特征都不再有稳定正增益。三个原因：</w:t>
      </w:r>
    </w:p>
    <w:p w14:paraId="114E2DD5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>mutation_only（52d）是唯一的地基：它直接编码 13 个突变位点的碱基身份，是近同源序列（仅 13/141 位点可变）的唯一本质判别信号，100-seed 独立 Sp=0.365。没有它，任何其他特征都无意义。</w:t>
      </w:r>
    </w:p>
    <w:p w14:paraId="558DDEA6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>structure_role（43d）和 window_dimer（208d）是仅有的两个实质正增量特征：在 mutation_only 基础上，structure_role 贡献 +0.004（区分茎/环突变的严重性），window_dimer 贡献 +0.017（编码局部碱基堆积倾向，是最大单步增益）。除此之外，所有其他特征（NUPACK 17 子块、碱基属性、能量项、上位效应等）的叠加增量都 ≤ 0，或为负（详见 v10-v13 实验）。</w:t>
      </w:r>
    </w:p>
    <w:p w14:paraId="3FB47F04">
      <w:pPr>
        <w:pStyle w:val="14"/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sz w:val="24"/>
          <w:szCs w:val="24"/>
        </w:rPr>
        <w:t xml:space="preserve">303d 之后的边际收益为零：特征进化路径显示，303d </w:t>
      </w:r>
      <w:r>
        <w:rPr>
          <w:rFonts w:hint="eastAsia" w:ascii="Times New Roman" w:hAnsi="Times New Roman" w:eastAsia="思源宋体 CN Medium" w:cs="Times New Roman"/>
          <w:sz w:val="24"/>
          <w:szCs w:val="24"/>
          <w:lang w:val="en-US" w:eastAsia="zh-CN"/>
        </w:rPr>
        <w:t>后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继续叠加任何特征（NUPACK 192d、rna_properties 78d、energy 70d 等）都无法稳定提升，甚至有害。因此用 303d 作为统一基线，衡量每个新特征的「增量Δ」。</w:t>
      </w:r>
    </w:p>
    <w:p w14:paraId="1E00E31E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left="567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特征进化路径：</w:t>
      </w: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br w:type="textWrapping"/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mutation_only (52d)              0.365   ← 地基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+ structure_role (43d)           +0.004 → 0.369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+ window_dimer (208d)          +0.017 → 0.382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───────────────────────────── 303d 基线 ───────────────────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br w:type="textWrapping"/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t>+ 任何其他特征                    ≤ 0 或负值（v10-v13 已验证）</w:t>
      </w:r>
      <w:r>
        <w:rPr>
          <w:rFonts w:hint="default" w:ascii="Times New Roman" w:hAnsi="Times New Roman" w:eastAsia="思源宋体 CN Medium" w:cs="Times New Roman"/>
          <w:sz w:val="24"/>
          <w:szCs w:val="24"/>
        </w:rPr>
        <w:br w:type="textWrapping"/>
      </w:r>
    </w:p>
    <w:p w14:paraId="2B496EB6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0815DF4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一、总表（按价值排序）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6"/>
        <w:gridCol w:w="1665"/>
        <w:gridCol w:w="1786"/>
        <w:gridCol w:w="696"/>
        <w:gridCol w:w="940"/>
        <w:gridCol w:w="1015"/>
        <w:gridCol w:w="1012"/>
        <w:gridCol w:w="876"/>
        <w:gridCol w:w="3118"/>
        <w:gridCol w:w="2835"/>
      </w:tblGrid>
      <w:tr w14:paraId="5E4B65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40677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#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E85D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特征简称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5B52C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中文名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B802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维度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4573D6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分类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FAFC8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计算</w:t>
            </w:r>
          </w:p>
          <w:p w14:paraId="547B7E2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成本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72AEF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增量Δ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43256D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独立Sp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6488C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计算方法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CE489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简要介绍</w:t>
            </w:r>
          </w:p>
        </w:tc>
      </w:tr>
      <w:tr w14:paraId="0F1BBE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6E542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D16CE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wd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690A8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窗口二核苷酸频率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98BA6F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208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1D41E2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C171D5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7A9F00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+0.017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2CC735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0.276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AA9A8F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 ±5nt 窗口内 16 种二核苷酸频率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5F34E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最近邻模型下的碱基堆积作用编码（Turner &amp; Mathews 2010）</w:t>
            </w:r>
          </w:p>
        </w:tc>
      </w:tr>
      <w:tr w14:paraId="53DC4CC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E57F59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E74C6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contact_pca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88AE6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接触矩阵 PCA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751A93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59D25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51E00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4E348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+0.012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8B9CD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0CF87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配对概率矩阵特征值分解（前10+谱间隙+迹+主模态占比）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D951A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配对概率矩阵谱分解，量化结构系综确定性</w:t>
            </w:r>
          </w:p>
        </w:tc>
      </w:tr>
      <w:tr w14:paraId="749CC1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6EBF8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5A2B50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cluster_pair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7ADA8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簇间/簇内配对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7F2F01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CBF3BD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C559F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8E08F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+0.006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31443E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4B92C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 簇两两配对概率和 + 簇内 + 长程计数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65CC2A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跨簇/簇内碱基配对倾向，反映三级长程相互作用</w:t>
            </w:r>
          </w:p>
        </w:tc>
      </w:tr>
      <w:tr w14:paraId="2966BD9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C31D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364E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energy_land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30C12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能量景观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01BFE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1C421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02A28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5E33C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+0.006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5D03C9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2994DF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稳定对计数 + 特征值 IPR + 有效模态数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A60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能量景观 ruggedness / 有效构象数（IPR）</w:t>
            </w:r>
          </w:p>
        </w:tc>
      </w:tr>
      <w:tr w14:paraId="0DEA75E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9B9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86D56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pos_entropy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A56E3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位点结构熵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3FED7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00860F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11817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3416021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6C7D2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579AB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 Shannon 熵 H=-p·log₂p-(1-p)·log₂(1-p)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8BE21B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位置级结构 Shannon 熵，量化配对不确定性</w:t>
            </w:r>
          </w:p>
        </w:tc>
      </w:tr>
      <w:tr w14:paraId="5BDA8E3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0DAB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6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58FB29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motif_global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EA63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全局模体统计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3CC57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BA19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D63CF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B95AC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545B54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9196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6 类模体 ×（全局 5 统计 + 适配体 2 统计）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0E382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全局二级结构模体分布（数量/比例/片段长度）</w:t>
            </w:r>
          </w:p>
        </w:tc>
      </w:tr>
      <w:tr w14:paraId="5914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1461D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4F479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pos_pair_prob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56C7A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位点配对概率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7596D0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8CDD4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6A4DA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605822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32777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B9FF1C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每位点与任何位点配对的总概率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CE66A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Boltzmann 系综的边缘碱基配对概率</w:t>
            </w:r>
          </w:p>
        </w:tc>
      </w:tr>
      <w:tr w14:paraId="0FBA7B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A9A7B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45BCE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motif_positional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6A1F8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位点模体分类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25019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220C5A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2A98E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NUPACK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DDBB3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3E2E1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0146A1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 6 类模体(S/H/I/B/M/E) one-hot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26C54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位置级二级结构模体分类（NUMO-ResNet 体系）</w:t>
            </w:r>
          </w:p>
        </w:tc>
      </w:tr>
      <w:tr w14:paraId="7ACD789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0FD32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9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3FFC7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struct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022476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结构角色特征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EE21B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43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FA35E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0C60ED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98E45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+0.004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1AF9DA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0.207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8F491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每位点茎/环标志 + 配对断裂统计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24F8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二级结构注释（PDB 3K1V），配对断裂损伤代理</w:t>
            </w:r>
          </w:p>
        </w:tc>
      </w:tr>
      <w:tr w14:paraId="2B1F15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E9D2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CA522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mut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E1EF6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突变位点独热编码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05886F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5CD07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4252D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B8081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基线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9737A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0.365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168CE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 位点 × 4 碱基 one-hot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CCDA4E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分类变量非序数 one-hot 编码，近同源序列唯一判别信号</w:t>
            </w:r>
          </w:p>
        </w:tc>
      </w:tr>
      <w:tr w14:paraId="5EF00CE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2DDBA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059EFD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inter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080AE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约束交互特征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F69C3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301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D8E4A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1FF554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B6764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+0.002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D934B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0.387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ABCF2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簇内属性交互 + WT 差值 + 局部配对变化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1DA960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约束交互 + 野生型差分，边际</w:t>
            </w:r>
          </w:p>
        </w:tc>
      </w:tr>
      <w:tr w14:paraId="76A9D31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0718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12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12E9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nuss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F0498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Local Nussinov DP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B4090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44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03C607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069B4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245BE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+0.002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3BCD4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0.079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871FD0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 ±10nt 窗口最大碱基对数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2C5E3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Nussinov 动态规划（碱基对最大化，无能量模型）</w:t>
            </w:r>
          </w:p>
        </w:tc>
      </w:tr>
      <w:tr w14:paraId="75580D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9343E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E1C4D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sq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B25F2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SQUARNA stem-max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19578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06ADC2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170206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E1A60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+0.011*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33ADC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0.272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A5E440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每位点最长 WC/Wobble 茎长度 + 能量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5C3977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SQUARNA 茎最大化（Serdakov 2026）</w:t>
            </w:r>
          </w:p>
        </w:tc>
      </w:tr>
      <w:tr w14:paraId="1C21FEA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931542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7A3512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target_encoding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DA36D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目标编码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3437EC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556F6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09C60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9A8D3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0.000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7F739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FF0B7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突变模式的留一折 gbsa 均值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0960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留一折目标编码（LOO target encoding）</w:t>
            </w:r>
          </w:p>
        </w:tc>
      </w:tr>
      <w:tr w14:paraId="02FBDD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EB8D5A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4E6D2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mt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65385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突变类型统计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D888F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14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3EC88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B82D0D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7CC9F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-0.001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D0D3D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0.160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97FFB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转换/颠换/GC 含量变化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618A6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突变类型统计（转换/颠换/GC），信息降维</w:t>
            </w:r>
          </w:p>
        </w:tc>
      </w:tr>
      <w:tr w14:paraId="2725536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0B2DF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16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E60BDB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ji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FD9C27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联合碱基身份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7BCA4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176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E9E8D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D925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B4E04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-0.003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49240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0.383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B9A40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22 对结构相关位点的 8d one-hot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6340A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结构相关位点对的联合碱基身份编码</w:t>
            </w:r>
          </w:p>
        </w:tc>
      </w:tr>
      <w:tr w14:paraId="6BD3FE8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D4A78A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17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472438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epi2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5A7D0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二阶上位效应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9F1A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169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E2D0C5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11B92C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3565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-0.011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772D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0.101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884E0C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13×13 one-hot 外积矩阵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7E5B9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上位性非加性效应（epistasis），78 对无关联交互</w:t>
            </w:r>
          </w:p>
        </w:tc>
      </w:tr>
      <w:tr w14:paraId="774C119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54B92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18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6AB54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energy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8B0996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局部 Turner 堆叠能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2A5D0D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BCCFE2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46310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39B97F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-0.014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B2164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0.258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8646D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Turner 堆叠能 Δ + WC 配对能 Δ + 氢键变化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4D16D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Turner 最近邻热力学参数（37°C，与 30°C 不一致）</w:t>
            </w:r>
          </w:p>
        </w:tc>
      </w:tr>
      <w:tr w14:paraId="0E90375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7613B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19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C91831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aap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363416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全位点配对潜力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B2655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546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36080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D609AC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36E03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-0.029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3D9D0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6202E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 对位点 × 7d 配对特征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BF98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全位点配对潜力，无约束交互 = 噪声</w:t>
            </w:r>
          </w:p>
        </w:tc>
      </w:tr>
      <w:tr w14:paraId="441CAC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0C07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A68AF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ed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C00D1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实体嵌入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F00EE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104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95F51E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C40EC8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DACCB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泄漏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10A4B49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0.393*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051EE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每位点等位基因 gbsa 统计量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68D2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实体嵌入（等位基因目标统计量），标签泄漏</w:t>
            </w:r>
          </w:p>
        </w:tc>
      </w:tr>
      <w:tr w14:paraId="559D6A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3B10FA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21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A53AE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RNA-FM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01602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RNA-FM 预训练嵌入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5487FF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1293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AE322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5E6811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GPU+预训练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180B70C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-0.06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C0DF9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≤0.04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7B322E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 mean-pool + 位点均值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3B40D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预训练 RNA LLM，近同源序列领域漂移</w:t>
            </w:r>
          </w:p>
        </w:tc>
      </w:tr>
      <w:tr w14:paraId="50C9CC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F180F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22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5848BE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RNAErnie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714CE8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RNAErnie 预训练嵌入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01C1F74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820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765E79B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DA64D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GPU+预训练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163AF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0.00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48F4F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≤0.04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E0CA5E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CLS + 位点 embedding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AF88C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BERT 架构，领域漂移</w:t>
            </w:r>
          </w:p>
        </w:tc>
      </w:tr>
      <w:tr w14:paraId="2B4D19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7E0682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23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09117DF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aform3d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963287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A 型螺旋三维距离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221E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16FD0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9DAB23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3D 建模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2AEA0B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有害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399CC38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40A5EF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 位点距离矩阵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3E99CB4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非 SE(3) 不变，绝对坐标无意义</w:t>
            </w:r>
          </w:p>
        </w:tc>
      </w:tr>
      <w:tr w14:paraId="2B7C98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952CE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24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6814C6A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trrna3d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74BC9F5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trRosettaRNA2 三维坐标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51B4B41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~100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090755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1241B4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3D 预测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442DA4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有害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167E657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1DC7BE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预测距离/角度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8DBA95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SE(3) 非不变</w:t>
            </w:r>
          </w:p>
        </w:tc>
      </w:tr>
      <w:tr w14:paraId="15E676D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3045049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25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0873C58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epi3p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5EC708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三阶上位 PCA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ECA40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100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FE3A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2AF62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1214F3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无效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C97D8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0.398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0B315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2197d → PCA(100)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0E0B9B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d&gt;n 时 PCA 不稳定</w:t>
            </w:r>
          </w:p>
        </w:tc>
      </w:tr>
      <w:tr w14:paraId="6D0F218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9EF74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26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7FBB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RNA-BERTa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F4180E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RNA-BERTa 预训练嵌入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753F3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512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291D5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未测试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0E2CDD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GPU+预训练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B57FF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F28B4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43AD61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RoBERTa 架构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2D1B0F1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未测试</w:t>
            </w:r>
          </w:p>
        </w:tc>
      </w:tr>
      <w:tr w14:paraId="6D2944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66C55B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27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C3E7D0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fwht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7C932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FWHT 上位效应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08581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200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32610E7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未测试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55A12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30FA7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65D220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50715C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Walsh-Hadamard 变换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D5763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高阶上位分解，未跑</w:t>
            </w:r>
          </w:p>
        </w:tc>
      </w:tr>
      <w:tr w14:paraId="3F6C280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EDC3B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28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3DD819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evo_coupling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F33A9C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进化耦合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D928F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105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6309A6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未测试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0A2AC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06F342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3150BF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753C4F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Rfam MSA 的 MI/DI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75D202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进化耦合信息，未跑</w:t>
            </w:r>
          </w:p>
        </w:tc>
      </w:tr>
      <w:tr w14:paraId="342555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238DC5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29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277D95C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rna_properties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4B416E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 碱基属性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FD4F2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DA3A04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4A62B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515321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+0.0069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0B9171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CDAC4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嘌呤/嘧啶/强弱/酮基/氨基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60D21B8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碱基化学属性，one-hot 之外的补充信息</w:t>
            </w:r>
          </w:p>
        </w:tc>
      </w:tr>
      <w:tr w14:paraId="78BA89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58B5A04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30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4DBE1C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block_features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0A813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簇块特征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2ED270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5DBE92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A44D3F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3CFAB1D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-0.0055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C9274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66204D9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每簇碱基组成 + GC 含量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5D55DA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簇块统计过粗，信息丢失</w:t>
            </w:r>
          </w:p>
        </w:tc>
      </w:tr>
      <w:tr w14:paraId="6F241F9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09CBF8B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31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825DA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local_window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2FC036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局部窗口特征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3B31E5E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52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5036362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3194003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75F35F6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-0.0052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738F14A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6AAF29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±3/±5nt 窗口 GC/AU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7166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与 wd 冗余</w:t>
            </w:r>
          </w:p>
        </w:tc>
      </w:tr>
      <w:tr w14:paraId="60CBE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1DD80D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32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700D0B5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delta_kmer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65DFDD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 k-mer 差值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4213427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84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3B6B55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70810E1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0A78EB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-0.0143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45D9F8A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38B586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k=1,2,3 全局频率差 vs WT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111DCC0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全局特征对近同源序列≈常数</w:t>
            </w:r>
          </w:p>
        </w:tc>
      </w:tr>
      <w:tr w14:paraId="3F6370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456" w:type="dxa"/>
            <w:shd w:val="clear" w:color="auto" w:fill="auto"/>
            <w:vAlign w:val="center"/>
          </w:tcPr>
          <w:p w14:paraId="29554C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33</w:t>
            </w:r>
          </w:p>
        </w:tc>
        <w:tc>
          <w:tcPr>
            <w:tcW w:w="1665" w:type="dxa"/>
            <w:shd w:val="clear" w:color="auto" w:fill="auto"/>
            <w:vAlign w:val="center"/>
          </w:tcPr>
          <w:p w14:paraId="137486B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pairwise_mut</w:t>
            </w:r>
          </w:p>
        </w:tc>
        <w:tc>
          <w:tcPr>
            <w:tcW w:w="1786" w:type="dxa"/>
            <w:shd w:val="clear" w:color="auto" w:fill="auto"/>
            <w:vAlign w:val="center"/>
          </w:tcPr>
          <w:p w14:paraId="18B66A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成对突变特征</w:t>
            </w:r>
          </w:p>
        </w:tc>
        <w:tc>
          <w:tcPr>
            <w:tcW w:w="696" w:type="dxa"/>
            <w:shd w:val="clear" w:color="auto" w:fill="auto"/>
            <w:vAlign w:val="center"/>
          </w:tcPr>
          <w:p w14:paraId="66949F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1248</w:t>
            </w:r>
          </w:p>
        </w:tc>
        <w:tc>
          <w:tcPr>
            <w:tcW w:w="940" w:type="dxa"/>
            <w:shd w:val="clear" w:color="auto" w:fill="auto"/>
            <w:vAlign w:val="center"/>
          </w:tcPr>
          <w:p w14:paraId="2768A3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015" w:type="dxa"/>
            <w:shd w:val="clear" w:color="auto" w:fill="auto"/>
            <w:vAlign w:val="center"/>
          </w:tcPr>
          <w:p w14:paraId="67FEB60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免费</w:t>
            </w:r>
          </w:p>
        </w:tc>
        <w:tc>
          <w:tcPr>
            <w:tcW w:w="1012" w:type="dxa"/>
            <w:shd w:val="clear" w:color="auto" w:fill="auto"/>
            <w:vAlign w:val="center"/>
          </w:tcPr>
          <w:p w14:paraId="6FA7E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-0.0194</w:t>
            </w:r>
          </w:p>
        </w:tc>
        <w:tc>
          <w:tcPr>
            <w:tcW w:w="876" w:type="dxa"/>
            <w:shd w:val="clear" w:color="auto" w:fill="auto"/>
            <w:vAlign w:val="center"/>
          </w:tcPr>
          <w:p w14:paraId="2DAD2F5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—</w:t>
            </w:r>
          </w:p>
        </w:tc>
        <w:tc>
          <w:tcPr>
            <w:tcW w:w="3118" w:type="dxa"/>
            <w:shd w:val="clear" w:color="auto" w:fill="auto"/>
            <w:vAlign w:val="center"/>
          </w:tcPr>
          <w:p w14:paraId="243D6A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 对位点 × 16 碱基组合</w:t>
            </w:r>
          </w:p>
        </w:tc>
        <w:tc>
          <w:tcPr>
            <w:tcW w:w="2835" w:type="dxa"/>
            <w:shd w:val="clear" w:color="auto" w:fill="auto"/>
            <w:vAlign w:val="center"/>
          </w:tcPr>
          <w:p w14:paraId="75D27E4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1248d 维度灾难</w:t>
            </w:r>
          </w:p>
        </w:tc>
      </w:tr>
    </w:tbl>
    <w:p w14:paraId="0C20F84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8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color w:val="646464"/>
          <w:sz w:val="24"/>
          <w:szCs w:val="24"/>
        </w:rPr>
        <w:t>* sq 的 +0.011 仅用于恢复 energy 造成的下降，非独立增益；ed 严格 cross-fitting 后为 -0.003</w:t>
      </w:r>
    </w:p>
    <w:p w14:paraId="688E6F4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37B28BB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二、NUPACK 17 子块独立验证表（v10b, 30 seeds, baseline XGB=0.3804）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803"/>
        <w:gridCol w:w="680"/>
        <w:gridCol w:w="892"/>
        <w:gridCol w:w="680"/>
        <w:gridCol w:w="1701"/>
        <w:gridCol w:w="5953"/>
      </w:tblGrid>
      <w:tr w14:paraId="3BDFB6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118DCB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子块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DC2C2F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维度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9AB3F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独立Δ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6E0F4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分类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BB2A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简要介绍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56480C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学术解释</w:t>
            </w:r>
          </w:p>
        </w:tc>
      </w:tr>
      <w:tr w14:paraId="01341D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EA30ED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contact_pca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D5118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829C5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+0.012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59184C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54D1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折叠的确定性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5D799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配对概率矩阵谱分解，特征值谱集中程度（spectral gap、主模态方差占比）量化结构系综确定性</w:t>
            </w:r>
          </w:p>
        </w:tc>
      </w:tr>
      <w:tr w14:paraId="7B44736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600434D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cluster_pair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465F49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C34AC7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F8829C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2D5CC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簇间配对关系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418D807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跨簇/簇内碱基配对倾向，反映三级结构长程相互作用</w:t>
            </w:r>
          </w:p>
        </w:tc>
      </w:tr>
      <w:tr w14:paraId="76B124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15AB9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energy_land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D0E36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5ECA9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+0.006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F32FF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978F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稳定配对数量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830FB2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能量景观 ruggedness，有效构象数 = 1/IPR</w:t>
            </w:r>
          </w:p>
        </w:tc>
      </w:tr>
      <w:tr w14:paraId="20297C0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C8EEC3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pos_entropy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42EB8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2E1116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77F6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57F2B7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位点配对不确定性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CC422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位置级结构 Shannon 熵，量化配对不确定性</w:t>
            </w:r>
          </w:p>
        </w:tc>
      </w:tr>
      <w:tr w14:paraId="2C07C47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FA8887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motif_global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C17736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DB0A3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AB5B6D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9AEA41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全局模体分布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AB06F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全局二级结构模体分布，反映折叠复杂度</w:t>
            </w:r>
          </w:p>
        </w:tc>
      </w:tr>
      <w:tr w14:paraId="28F5C54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B6B309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pos_pair_prob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C9093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B75AE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D1C9F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F792C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位点配对概率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B9D9C2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Boltzmann 系综的边缘碱基配对概率（marginal base-pairing probability）</w:t>
            </w:r>
          </w:p>
        </w:tc>
      </w:tr>
      <w:tr w14:paraId="79C04F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26C731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motif_positional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5D764B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74EA8BD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163BF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1493D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位点模体类型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6C7639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位置级二级结构模体分类（Stack/Hairpin/Interior/Bulge/Multi-loop/External）</w:t>
            </w:r>
          </w:p>
        </w:tc>
      </w:tr>
      <w:tr w14:paraId="0D8CEB4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89BD6A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mfe_detailed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81464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417C2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D30E46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82F1A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凸起/内环/发夹统计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B2D6E6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MFE 结构的凸起/内环不对称性/发夹/螺旋段等细节统计</w:t>
            </w:r>
          </w:p>
        </w:tc>
      </w:tr>
      <w:tr w14:paraId="6069584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DE8125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ensemble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8FA1D6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870283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+0.001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7DC2A5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732754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折叠构象多样性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73235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Boltzmann 系综熵 + 参与率（participation ratio）</w:t>
            </w:r>
          </w:p>
        </w:tc>
      </w:tr>
      <w:tr w14:paraId="300D1D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0E65F8A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win_stats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E9E9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C32F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755D84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84B74C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窗口配对均值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048BEDE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位点窗口配对概率的均值/方差</w:t>
            </w:r>
          </w:p>
        </w:tc>
      </w:tr>
      <w:tr w14:paraId="59FED5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410499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dist_moments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6EA33E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EDAC6C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A953D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C8B7F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配对概率分布矩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1AA674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配对概率分布的偏度/峰度/Gini 系数/分位数</w:t>
            </w:r>
          </w:p>
        </w:tc>
      </w:tr>
      <w:tr w14:paraId="6D4942A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99BCDF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squarna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13434D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122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9B20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F1556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02FF330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最长茎长度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613F8B3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每位点最长 WC/Wobble 茎长度 + Turner 能量（SQUARNA 方法）</w:t>
            </w:r>
          </w:p>
        </w:tc>
      </w:tr>
      <w:tr w14:paraId="30E866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7F9B47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seg_entropy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C5E6F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21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1BEB95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3D350C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CCF176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序列片段熵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3691F01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滑动窗口 Shannon 熵（序列复杂度）</w:t>
            </w:r>
          </w:p>
        </w:tc>
      </w:tr>
      <w:tr w14:paraId="60C25C8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4EBDA7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mfe_basic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9E1C4B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24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E057D2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72C99A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26F236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茎/环数量统计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D3A5A1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MFE 结构的茎/环数量、长度、配对比例统计</w:t>
            </w:r>
          </w:p>
        </w:tc>
      </w:tr>
      <w:tr w14:paraId="758D6E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B610A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expected_acc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1B7D48F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0FA1BF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-0.007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635F02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4441D5E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配对可信度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17499C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MFE 碱基对的配对概率可信度</w:t>
            </w:r>
          </w:p>
        </w:tc>
      </w:tr>
      <w:tr w14:paraId="7DAC74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AE947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ufold_blocks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DE3EC0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7DB81A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-0.008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432C424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769C3FB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配对概率分块统计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2BA0FF0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配对概率矩阵的分块统计（UFold 2D blocks）</w:t>
            </w:r>
          </w:p>
        </w:tc>
      </w:tr>
      <w:tr w14:paraId="1C9470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4045C9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pair_dist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3948983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28C486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-0.023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6206158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3951D5E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配对平均距离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85A27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每位点的期望配对距离（以配对概率加权）</w:t>
            </w:r>
          </w:p>
        </w:tc>
      </w:tr>
      <w:tr w14:paraId="40A1CDE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CB025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gradient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2B5BD06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78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599C16D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-0.025</w:t>
            </w:r>
          </w:p>
        </w:tc>
        <w:tc>
          <w:tcPr>
            <w:tcW w:w="680" w:type="dxa"/>
            <w:shd w:val="clear" w:color="auto" w:fill="auto"/>
            <w:vAlign w:val="center"/>
          </w:tcPr>
          <w:p w14:paraId="03DC35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1701" w:type="dxa"/>
            <w:shd w:val="clear" w:color="auto" w:fill="auto"/>
            <w:vAlign w:val="center"/>
          </w:tcPr>
          <w:p w14:paraId="64CBD5C8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配对概率变化率</w:t>
            </w:r>
          </w:p>
        </w:tc>
        <w:tc>
          <w:tcPr>
            <w:tcW w:w="5953" w:type="dxa"/>
            <w:shd w:val="clear" w:color="auto" w:fill="auto"/>
            <w:vAlign w:val="center"/>
          </w:tcPr>
          <w:p w14:paraId="7FAA36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每位点配对概率的局部变化率 + 伴侣熵 + 最佳伴侣距离</w:t>
            </w:r>
          </w:p>
        </w:tc>
      </w:tr>
    </w:tbl>
    <w:p w14:paraId="0D3E4B2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12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汇总：7 个有用子块（192d）+ 4 个中性 + 7 个有害</w:t>
      </w:r>
    </w:p>
    <w:p w14:paraId="3BE5B1C9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406BC5FA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三、训练技巧表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01"/>
        <w:gridCol w:w="2268"/>
        <w:gridCol w:w="4535"/>
        <w:gridCol w:w="1134"/>
      </w:tblGrid>
      <w:tr w14:paraId="26CE136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7BAB30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技巧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071BF35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通俗解释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687864F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学术解释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710910A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增益</w:t>
            </w:r>
          </w:p>
        </w:tc>
      </w:tr>
      <w:tr w14:paraId="361B285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CD9B72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winsor_2.5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63F662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极端值压平到边界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171001D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Winsorization 钳制到 P2.5/P97.5，削减离群值杠杆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04724F1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+0.002</w:t>
            </w:r>
          </w:p>
        </w:tc>
      </w:tr>
      <w:tr w14:paraId="68FD3B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578E3F3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MAE loss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11AC7B9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线性惩罚替代平方惩罚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3C06B43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L1 损失对离群值鲁棒，与 Spearman 秩目标一致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2F06404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+0.007</w:t>
            </w:r>
          </w:p>
        </w:tc>
      </w:tr>
      <w:tr w14:paraId="373F4DD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01" w:type="dxa"/>
            <w:shd w:val="clear" w:color="auto" w:fill="auto"/>
            <w:vAlign w:val="center"/>
          </w:tcPr>
          <w:p w14:paraId="1DD18B9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5 模型秩融合</w:t>
            </w:r>
          </w:p>
        </w:tc>
        <w:tc>
          <w:tcPr>
            <w:tcW w:w="2268" w:type="dxa"/>
            <w:shd w:val="clear" w:color="auto" w:fill="auto"/>
            <w:vAlign w:val="center"/>
          </w:tcPr>
          <w:p w14:paraId="441A74D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多个模型排名取平均</w:t>
            </w:r>
          </w:p>
        </w:tc>
        <w:tc>
          <w:tcPr>
            <w:tcW w:w="4535" w:type="dxa"/>
            <w:shd w:val="clear" w:color="auto" w:fill="auto"/>
            <w:vAlign w:val="center"/>
          </w:tcPr>
          <w:p w14:paraId="38513BED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equal-weight rank average，降低方差</w:t>
            </w:r>
          </w:p>
        </w:tc>
        <w:tc>
          <w:tcPr>
            <w:tcW w:w="1134" w:type="dxa"/>
            <w:shd w:val="clear" w:color="auto" w:fill="auto"/>
            <w:vAlign w:val="center"/>
          </w:tcPr>
          <w:p w14:paraId="46F3338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color w:val="auto"/>
                <w:sz w:val="24"/>
                <w:szCs w:val="24"/>
              </w:rPr>
              <w:t>+0.003</w:t>
            </w:r>
          </w:p>
        </w:tc>
      </w:tr>
    </w:tbl>
    <w:p w14:paraId="0789A8C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1681858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四、分类汇总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417"/>
        <w:gridCol w:w="850"/>
        <w:gridCol w:w="144"/>
        <w:gridCol w:w="10061"/>
      </w:tblGrid>
      <w:tr w14:paraId="7B82F34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3D866D05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分类</w:t>
            </w:r>
          </w:p>
        </w:tc>
        <w:tc>
          <w:tcPr>
            <w:tcW w:w="994" w:type="dxa"/>
            <w:gridSpan w:val="2"/>
            <w:shd w:val="clear" w:color="auto" w:fill="auto"/>
            <w:vAlign w:val="center"/>
          </w:tcPr>
          <w:p w14:paraId="6DFF373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特征数</w:t>
            </w:r>
          </w:p>
        </w:tc>
        <w:tc>
          <w:tcPr>
            <w:tcW w:w="10061" w:type="dxa"/>
            <w:shd w:val="clear" w:color="auto" w:fill="auto"/>
            <w:vAlign w:val="center"/>
          </w:tcPr>
          <w:p w14:paraId="522A348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特征列表</w:t>
            </w:r>
          </w:p>
        </w:tc>
      </w:tr>
      <w:tr w14:paraId="3CA46D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0DE764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有价值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5395A00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11</w:t>
            </w:r>
          </w:p>
        </w:tc>
        <w:tc>
          <w:tcPr>
            <w:tcW w:w="10205" w:type="dxa"/>
            <w:gridSpan w:val="2"/>
            <w:shd w:val="clear" w:color="auto" w:fill="auto"/>
            <w:vAlign w:val="center"/>
          </w:tcPr>
          <w:p w14:paraId="6DC4950B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wd, contact_pca, cluster_pair, energy_land, pos_entropy, motif_global, pos_pair_prob, motif_positional, struct, mut, rna_properties</w:t>
            </w:r>
          </w:p>
        </w:tc>
      </w:tr>
      <w:tr w14:paraId="5DF6849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2F01D9FE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负价值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0F8A539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20</w:t>
            </w:r>
          </w:p>
        </w:tc>
        <w:tc>
          <w:tcPr>
            <w:tcW w:w="10205" w:type="dxa"/>
            <w:gridSpan w:val="2"/>
            <w:shd w:val="clear" w:color="auto" w:fill="auto"/>
            <w:vAlign w:val="center"/>
          </w:tcPr>
          <w:p w14:paraId="18CBA28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energy, epi2, ed, aap, gradient, pair_dist, ufold, expected_acc, mfe_basic, squarna, seg_entropy, RNA-FM, RNAErnie, aform3d, trrna3d, epi3p, block_features, local_window, delta_kmer, pairwise_mut</w:t>
            </w:r>
          </w:p>
        </w:tc>
      </w:tr>
      <w:tr w14:paraId="4BD135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714AFF6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无影响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3F53C2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10</w:t>
            </w:r>
          </w:p>
        </w:tc>
        <w:tc>
          <w:tcPr>
            <w:tcW w:w="10205" w:type="dxa"/>
            <w:gridSpan w:val="2"/>
            <w:shd w:val="clear" w:color="auto" w:fill="auto"/>
            <w:vAlign w:val="center"/>
          </w:tcPr>
          <w:p w14:paraId="171645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inter, nuss, sq, target_encoding, mt, ji, mfe_detailed, ensemble, win_stats, dist_moments</w:t>
            </w:r>
          </w:p>
        </w:tc>
      </w:tr>
      <w:tr w14:paraId="1188D8E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17" w:type="dxa"/>
            <w:shd w:val="clear" w:color="auto" w:fill="auto"/>
            <w:vAlign w:val="center"/>
          </w:tcPr>
          <w:p w14:paraId="56E26554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未测试</w:t>
            </w:r>
          </w:p>
        </w:tc>
        <w:tc>
          <w:tcPr>
            <w:tcW w:w="850" w:type="dxa"/>
            <w:shd w:val="clear" w:color="auto" w:fill="auto"/>
            <w:vAlign w:val="center"/>
          </w:tcPr>
          <w:p w14:paraId="471C9B92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3</w:t>
            </w:r>
          </w:p>
        </w:tc>
        <w:tc>
          <w:tcPr>
            <w:tcW w:w="10205" w:type="dxa"/>
            <w:gridSpan w:val="2"/>
            <w:shd w:val="clear" w:color="auto" w:fill="auto"/>
            <w:vAlign w:val="center"/>
          </w:tcPr>
          <w:p w14:paraId="131FA36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RNA-BERTa, fwht, evo_coupling</w:t>
            </w:r>
          </w:p>
        </w:tc>
      </w:tr>
    </w:tbl>
    <w:p w14:paraId="2D778F07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1A62015C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五、最佳方案</w:t>
      </w:r>
    </w:p>
    <w:tbl>
      <w:tblPr>
        <w:tblStyle w:val="33"/>
        <w:tblW w:w="0" w:type="auto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shd w:val="clear" w:color="auto" w:fill="auto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35"/>
        <w:gridCol w:w="9638"/>
      </w:tblGrid>
      <w:tr w14:paraId="0311AC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0CD32BB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项目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7322C9B0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center"/>
              <w:textAlignment w:val="auto"/>
              <w:rPr>
                <w:rFonts w:hint="default" w:ascii="Times New Roman" w:hAnsi="Times New Roman" w:eastAsia="思源宋体 CN Medium" w:cs="Times New Roman"/>
                <w:color w:val="auto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color w:val="auto"/>
                <w:sz w:val="24"/>
                <w:szCs w:val="24"/>
              </w:rPr>
              <w:t>配置</w:t>
            </w:r>
          </w:p>
        </w:tc>
      </w:tr>
      <w:tr w14:paraId="2D4732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1C5A183C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特征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5568741A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mut(52) + struct(43) + wd(208) = 303d</w:t>
            </w:r>
          </w:p>
        </w:tc>
      </w:tr>
      <w:tr w14:paraId="5869DA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53DC6E4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目标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17939F6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winsor_2.5</w:t>
            </w:r>
          </w:p>
        </w:tc>
      </w:tr>
      <w:tr w14:paraId="4D6164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70EA7333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损失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2AB04371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MAE</w:t>
            </w:r>
          </w:p>
        </w:tc>
      </w:tr>
      <w:tr w14:paraId="6DCA329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7B24FFB9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模型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71B5F77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5 模型秩融合</w:t>
            </w:r>
          </w:p>
        </w:tc>
      </w:tr>
      <w:tr w14:paraId="5F4CB06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554F9E5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sz w:val="24"/>
                <w:szCs w:val="24"/>
              </w:rPr>
              <w:t>100-seed gbsa_Sp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466E1CE7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/>
                <w:sz w:val="24"/>
                <w:szCs w:val="24"/>
              </w:rPr>
              <w:t>0.375 ± 0.008 (95% CI)</w:t>
            </w:r>
          </w:p>
        </w:tc>
      </w:tr>
      <w:tr w14:paraId="70FCDF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shd w:val="clear" w:color="auto" w:fill="auto"/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35" w:type="dxa"/>
            <w:shd w:val="clear" w:color="auto" w:fill="auto"/>
            <w:vAlign w:val="center"/>
          </w:tcPr>
          <w:p w14:paraId="20335BD6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理论上限</w:t>
            </w:r>
          </w:p>
        </w:tc>
        <w:tc>
          <w:tcPr>
            <w:tcW w:w="9638" w:type="dxa"/>
            <w:shd w:val="clear" w:color="auto" w:fill="auto"/>
            <w:vAlign w:val="center"/>
          </w:tcPr>
          <w:p w14:paraId="253A7A6F">
            <w:pPr>
              <w:keepNext w:val="0"/>
              <w:keepLines w:val="0"/>
              <w:pageBreakBefore w:val="0"/>
              <w:widowControl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/>
              <w:spacing w:after="0" w:line="240" w:lineRule="auto"/>
              <w:jc w:val="left"/>
              <w:textAlignment w:val="auto"/>
              <w:rPr>
                <w:rFonts w:hint="default" w:ascii="Times New Roman" w:hAnsi="Times New Roman" w:eastAsia="思源宋体 CN Medium" w:cs="Times New Roman"/>
                <w:sz w:val="24"/>
                <w:szCs w:val="24"/>
              </w:rPr>
            </w:pPr>
            <w:r>
              <w:rPr>
                <w:rFonts w:hint="default" w:ascii="Times New Roman" w:hAnsi="Times New Roman" w:eastAsia="思源宋体 CN Medium" w:cs="Times New Roman"/>
                <w:b w:val="0"/>
                <w:sz w:val="24"/>
                <w:szCs w:val="24"/>
              </w:rPr>
              <w:t>0.412</w:t>
            </w:r>
          </w:p>
        </w:tc>
      </w:tr>
    </w:tbl>
    <w:p w14:paraId="485DC0D5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</w:p>
    <w:p w14:paraId="5FC5B8E3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before="280" w:after="160" w:line="240" w:lineRule="auto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/>
          <w:sz w:val="24"/>
          <w:szCs w:val="24"/>
        </w:rPr>
        <w:t>特征工程结论</w:t>
      </w:r>
    </w:p>
    <w:p w14:paraId="0CD5B172">
      <w:pPr>
        <w:keepNext w:val="0"/>
        <w:keepLines w:val="0"/>
        <w:pageBreakBefore w:val="0"/>
        <w:widowControl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420"/>
        <w:textAlignment w:val="auto"/>
        <w:rPr>
          <w:rFonts w:hint="default" w:ascii="Times New Roman" w:hAnsi="Times New Roman" w:eastAsia="思源宋体 CN Medium" w:cs="Times New Roman"/>
          <w:sz w:val="24"/>
          <w:szCs w:val="24"/>
        </w:rPr>
      </w:pPr>
      <w:r>
        <w:rPr>
          <w:rFonts w:hint="default" w:ascii="Times New Roman" w:hAnsi="Times New Roman" w:eastAsia="思源宋体 CN Medium" w:cs="Times New Roman"/>
          <w:b w:val="0"/>
          <w:sz w:val="24"/>
          <w:szCs w:val="24"/>
        </w:rPr>
        <w:t>没有任何特征组合能稳定突破 0.375-0.384，特征工程彻底穷尽，突破需靠新数据（主动学习）或更好标签（物理协议优化）。</w:t>
      </w:r>
    </w:p>
    <w:sectPr>
      <w:pgSz w:w="16838" w:h="11906" w:orient="landscape"/>
      <w:pgMar w:top="1134" w:right="1134" w:bottom="1134" w:left="1134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libri Light">
    <w:panose1 w:val="020F03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仓耳渔阳体 W02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宋体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  <w:font w:name="Segoe UI Emoji">
    <w:panose1 w:val="020B0502040204020203"/>
    <w:charset w:val="00"/>
    <w:family w:val="auto"/>
    <w:pitch w:val="default"/>
    <w:sig w:usb0="00000001" w:usb1="02000000" w:usb2="08000000" w:usb3="00000000" w:csb0="00000001" w:csb1="00000000"/>
  </w:font>
  <w:font w:name="Courier New">
    <w:panose1 w:val="02070309020205020404"/>
    <w:charset w:val="00"/>
    <w:family w:val="auto"/>
    <w:pitch w:val="default"/>
    <w:sig w:usb0="E0002EFF" w:usb1="C0007843" w:usb2="00000009" w:usb3="00000000" w:csb0="400001FF" w:csb1="FFFF0000"/>
  </w:font>
  <w:font w:name="仓耳渔阳体 W02">
    <w:panose1 w:val="02020400000000000000"/>
    <w:charset w:val="80"/>
    <w:family w:val="auto"/>
    <w:pitch w:val="default"/>
    <w:sig w:usb0="80000023" w:usb1="08C10458" w:usb2="00000012" w:usb3="00000000" w:csb0="00020001" w:csb1="00000000"/>
  </w:font>
  <w:font w:name="思源宋体 CN Medium">
    <w:panose1 w:val="02020500000000000000"/>
    <w:charset w:val="86"/>
    <w:family w:val="auto"/>
    <w:pitch w:val="default"/>
    <w:sig w:usb0="20000083" w:usb1="2ADF3C10" w:usb2="00000016" w:usb3="00000000" w:csb0="60060107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1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104977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qFormat="1"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qFormat="1"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qFormat="1"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qFormat="1"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qFormat="1"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qFormat="1"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qFormat="1"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qFormat="1"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qFormat="1" w:unhideWhenUsed="0" w:uiPriority="66" w:semiHidden="0" w:name="Medium List 2 Accent 4"/>
    <w:lsdException w:unhideWhenUsed="0" w:uiPriority="67" w:semiHidden="0" w:name="Medium Grid 1 Accent 4"/>
    <w:lsdException w:qFormat="1"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qFormat="1"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qFormat="1" w:unhideWhenUsed="0" w:uiPriority="64" w:semiHidden="0" w:name="Medium Shading 2 Accent 5"/>
    <w:lsdException w:qFormat="1" w:unhideWhenUsed="0" w:uiPriority="65" w:semiHidden="0" w:name="Medium List 1 Accent 5"/>
    <w:lsdException w:qFormat="1"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qFormat="1" w:unhideWhenUsed="0" w:uiPriority="69" w:semiHidden="0" w:name="Medium Grid 3 Accent 5"/>
    <w:lsdException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qFormat="1"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宋体" w:hAnsi="宋体" w:eastAsia="宋体" w:cstheme="minorBidi"/>
      <w:sz w:val="21"/>
      <w:szCs w:val="22"/>
      <w:lang w:val="en-US" w:eastAsia="en-US" w:bidi="ar-SA"/>
    </w:rPr>
  </w:style>
  <w:style w:type="paragraph" w:styleId="3">
    <w:name w:val="heading 1"/>
    <w:basedOn w:val="1"/>
    <w:next w:val="1"/>
    <w:link w:val="138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9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0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0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2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53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5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46"/>
    <w:unhideWhenUsed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44"/>
    <w:unhideWhenUsed/>
    <w:uiPriority w:val="99"/>
    <w:pPr>
      <w:spacing w:after="120"/>
    </w:pPr>
  </w:style>
  <w:style w:type="paragraph" w:styleId="20">
    <w:name w:val="List Number 3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36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35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42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uiPriority w:val="99"/>
    <w:pPr>
      <w:ind w:left="360" w:hanging="360"/>
      <w:contextualSpacing/>
    </w:pPr>
  </w:style>
  <w:style w:type="paragraph" w:styleId="28">
    <w:name w:val="Body Text 2"/>
    <w:basedOn w:val="1"/>
    <w:link w:val="145"/>
    <w:unhideWhenUsed/>
    <w:uiPriority w:val="99"/>
    <w:pPr>
      <w:spacing w:after="120" w:line="480" w:lineRule="auto"/>
    </w:pPr>
  </w:style>
  <w:style w:type="paragraph" w:styleId="29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Header Char"/>
    <w:basedOn w:val="132"/>
    <w:link w:val="25"/>
    <w:uiPriority w:val="99"/>
  </w:style>
  <w:style w:type="character" w:customStyle="1" w:styleId="136">
    <w:name w:val="Footer Char"/>
    <w:basedOn w:val="132"/>
    <w:link w:val="24"/>
    <w:uiPriority w:val="99"/>
  </w:style>
  <w:style w:type="paragraph" w:styleId="137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38">
    <w:name w:val="Heading 1 Char"/>
    <w:basedOn w:val="132"/>
    <w:link w:val="3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39">
    <w:name w:val="Heading 2 Char"/>
    <w:basedOn w:val="132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40">
    <w:name w:val="Heading 3 Char"/>
    <w:basedOn w:val="132"/>
    <w:link w:val="5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Subtitle Char"/>
    <w:basedOn w:val="132"/>
    <w:link w:val="26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Body Text Char"/>
    <w:basedOn w:val="132"/>
    <w:link w:val="19"/>
    <w:uiPriority w:val="99"/>
  </w:style>
  <w:style w:type="character" w:customStyle="1" w:styleId="145">
    <w:name w:val="Body Text 2 Char"/>
    <w:basedOn w:val="132"/>
    <w:link w:val="28"/>
    <w:qFormat/>
    <w:uiPriority w:val="99"/>
  </w:style>
  <w:style w:type="character" w:customStyle="1" w:styleId="146">
    <w:name w:val="Body Text 3 Char"/>
    <w:basedOn w:val="132"/>
    <w:link w:val="17"/>
    <w:uiPriority w:val="99"/>
    <w:rPr>
      <w:sz w:val="16"/>
      <w:szCs w:val="16"/>
    </w:rPr>
  </w:style>
  <w:style w:type="character" w:customStyle="1" w:styleId="147">
    <w:name w:val="Macro Text Char"/>
    <w:basedOn w:val="132"/>
    <w:link w:val="2"/>
    <w:uiPriority w:val="99"/>
    <w:rPr>
      <w:rFonts w:ascii="Courier" w:hAnsi="Courier"/>
      <w:sz w:val="20"/>
      <w:szCs w:val="20"/>
    </w:rPr>
  </w:style>
  <w:style w:type="paragraph" w:styleId="148">
    <w:name w:val="Quote"/>
    <w:basedOn w:val="1"/>
    <w:next w:val="1"/>
    <w:link w:val="149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49">
    <w:name w:val="Quote Char"/>
    <w:basedOn w:val="132"/>
    <w:link w:val="148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50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1">
    <w:name w:val="Heading 5 Char"/>
    <w:basedOn w:val="132"/>
    <w:link w:val="7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2">
    <w:name w:val="Heading 6 Char"/>
    <w:basedOn w:val="132"/>
    <w:link w:val="8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3">
    <w:name w:val="Heading 7 Char"/>
    <w:basedOn w:val="132"/>
    <w:link w:val="9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54">
    <w:name w:val="Heading 8 Char"/>
    <w:basedOn w:val="132"/>
    <w:link w:val="10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155">
    <w:name w:val="Heading 9 Char"/>
    <w:basedOn w:val="132"/>
    <w:link w:val="11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56">
    <w:name w:val="Intense Quote"/>
    <w:basedOn w:val="1"/>
    <w:next w:val="1"/>
    <w:link w:val="157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7">
    <w:name w:val="Intense Quote Char"/>
    <w:basedOn w:val="132"/>
    <w:link w:val="156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8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59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0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61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162">
    <w:name w:val="Book Title"/>
    <w:basedOn w:val="132"/>
    <w:qFormat/>
    <w:uiPriority w:val="33"/>
    <w:rPr>
      <w:b/>
      <w:bCs/>
      <w:smallCaps/>
      <w:spacing w:val="5"/>
    </w:rPr>
  </w:style>
  <w:style w:type="paragraph" w:customStyle="1" w:styleId="163">
    <w:name w:val="TOC Heading"/>
    <w:basedOn w:val="3"/>
    <w:next w:val="1"/>
    <w:semiHidden/>
    <w:unhideWhenUsed/>
    <w:qFormat/>
    <w:uiPriority w:val="39"/>
    <w:pPr>
      <w:outlineLvl w:val="9"/>
    </w:p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10</Pages>
  <Words>753</Words>
  <Characters>1231</Characters>
  <Lines>0</Lines>
  <Paragraphs>0</Paragraphs>
  <TotalTime>4</TotalTime>
  <ScaleCrop>false</ScaleCrop>
  <LinksUpToDate>false</LinksUpToDate>
  <CharactersWithSpaces>1380</CharactersWithSpaces>
  <Application>WPS Office_12.1.0.28043_F1E327BC-269C-435d-A152-05C5408002CA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寒霜剑冷</cp:lastModifiedBy>
  <dcterms:modified xsi:type="dcterms:W3CDTF">2026-08-15T05:29:13Z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eyJoZGlkIjoiNjRlNTQ1MTczZjA0YThkZWFiMGRmYmVjODdiZDc0OWUiLCJ1c2VySWQiOiIxMDM5NzUxMDg4In0=</vt:lpwstr>
  </property>
  <property fmtid="{D5CDD505-2E9C-101B-9397-08002B2CF9AE}" pid="3" name="KSOProductBuildVer">
    <vt:lpwstr>2052-12.1.0.28043</vt:lpwstr>
  </property>
  <property fmtid="{D5CDD505-2E9C-101B-9397-08002B2CF9AE}" pid="4" name="ICV">
    <vt:lpwstr>9B22FCD54AEF4114B73850CC6B5F1816_12</vt:lpwstr>
  </property>
</Properties>
</file>