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360" w:after="160" w:line="240" w:lineRule="auto"/>
        <w:jc w:val="left"/>
      </w:pPr>
      <w:r>
        <w:t>Vision Document</w:t>
        <w:br/>
        <w:t>for Clawsome</w:t>
      </w:r>
    </w:p>
    <w:p>
      <w:pPr>
        <w:pStyle w:val="SubtitleCustom"/>
        <w:spacing w:before="0" w:after="240" w:line="288" w:lineRule="auto"/>
      </w:pPr>
      <w:r>
        <w:t>Quick wins first</w:t>
        <w:br/>
        <w:t>Agents work now. We can set them up for you and start your journey.</w:t>
      </w:r>
    </w:p>
    <w:tbl>
      <w:tblPr>
        <w:tblW w:type="auto" w:w="0"/>
        <w:jc w:val="left"/>
        <w:tblLayout w:type="fixed"/>
        <w:tblLook w:firstColumn="1" w:firstRow="1" w:lastColumn="0" w:lastRow="0" w:noHBand="0" w:noVBand="1" w:val="04A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9936"/>
      </w:tblGrid>
      <w:tr>
        <w:tc>
          <w:tcPr>
            <w:tcW w:type="dxa" w:w="9504"/>
            <w:shd w:fill="F4F8FC"/>
            <w:tcMar>
              <w:top w:w="160" w:type="dxa"/>
              <w:start w:w="140" w:type="dxa"/>
              <w:bottom w:w="120" w:type="dxa"/>
              <w:end w:w="140" w:type="dxa"/>
            </w:tcMar>
          </w:tcPr>
          <w:p>
            <w:r>
              <w:rPr>
                <w:rFonts w:ascii="Aptos" w:hAnsi="Aptos"/>
                <w:b/>
                <w:color w:val="164E63"/>
                <w:sz w:val="19"/>
              </w:rPr>
              <w:t>Core market line</w:t>
              <w:br/>
            </w:r>
            <w:r>
              <w:rPr>
                <w:rFonts w:ascii="Aptos Display" w:hAnsi="Aptos Display"/>
                <w:b/>
                <w:color w:val="0E1E36"/>
                <w:sz w:val="32"/>
              </w:rPr>
              <w:t>Agents work now. We can set them up for you and start your journey.</w:t>
            </w:r>
          </w:p>
        </w:tc>
      </w:tr>
    </w:tbl>
    <w:p/>
    <w:p>
      <w:pPr>
        <w:pStyle w:val="BodySmall"/>
        <w:spacing w:before="0" w:after="360" w:line="288" w:lineRule="auto"/>
      </w:pPr>
      <w:r>
        <w:t>Prepared for strategic use. This document sets out Clawsome’s core market thesis, offer architecture, website narrative, demand generation plan, and delivery model.</w:t>
      </w:r>
    </w:p>
    <w:p>
      <w:r>
        <w:br w:type="page"/>
      </w:r>
    </w:p>
    <w:p>
      <w:pPr>
        <w:pStyle w:val="SectionCustom"/>
        <w:spacing w:before="160" w:after="120" w:line="240" w:lineRule="auto"/>
        <w:pBdr>
          <w:bottom w:val="single" w:sz="6" w:space="1" w:color="D8DDE6"/>
        </w:pBdr>
      </w:pPr>
      <w:r>
        <w:t>Executive Summary</w:t>
      </w:r>
    </w:p>
    <w:p>
      <w:pPr>
        <w:spacing w:before="0" w:after="120" w:line="276" w:lineRule="auto"/>
      </w:pPr>
      <w:r>
        <w:t>Clawsome should position itself as a practical AI agent setup partner for UK SMEs. The central idea is simple: start with quick, bounded, high-value automations that a buyer can understand, buy, and benefit from quickly.</w:t>
      </w:r>
    </w:p>
    <w:p>
      <w:pPr>
        <w:spacing w:before="0" w:after="120" w:line="276" w:lineRule="auto"/>
      </w:pPr>
      <w:r>
        <w:t>That gives the business a clean commercial model. Clawsome sells the start of the agentic journey through a first useful agent, then expands into broader builds once trust, proof, and operating confidence are in place.</w:t>
      </w:r>
    </w:p>
    <w:p>
      <w:pPr>
        <w:spacing w:before="0" w:after="120" w:line="276" w:lineRule="auto"/>
      </w:pPr>
      <w:r>
        <w:t>OpenClaw remains the action layer. Claude remains the reasoning, drafting, and decision-support layer. Together they enable practical automations that help SMEs recover revenue, cut operational drag, reduce response times, and remove repetitive work from human teams.</w:t>
      </w:r>
    </w:p>
    <w:p>
      <w:pPr>
        <w:spacing w:before="0" w:after="120" w:line="276" w:lineRule="auto"/>
      </w:pPr>
      <w:r>
        <w:t>The lead offer is a Quick-Win Agent Sprint supported by a light diagnostic. The website, messaging, and campaign plan should revolve around three immediately legible use cases: a Meta Ads Agent, a Lead Response Agent, and an Admin Recovery Agent such as invoice chasing or document triage.</w:t>
      </w:r>
    </w:p>
    <w:p>
      <w:pPr>
        <w:spacing w:before="0" w:after="120" w:line="276" w:lineRule="auto"/>
      </w:pPr>
      <w:r>
        <w:t>Larger, more complex builds remain an important part of the model, but they follow proven quick wins. The operating principle is simple: one useful agent first, then expansion once trust and ROI are proven.</w:t>
      </w:r>
    </w:p>
    <w:p>
      <w:pPr>
        <w:pStyle w:val="SubsectionCustom"/>
        <w:spacing w:before="80" w:after="80" w:line="240" w:lineRule="auto"/>
      </w:pPr>
      <w:r>
        <w:t>Strategic Thesis in One Sentence</w:t>
      </w:r>
    </w:p>
    <w:p>
      <w:pPr>
        <w:spacing w:before="0" w:after="120" w:line="276" w:lineRule="auto"/>
      </w:pPr>
      <w:r>
        <w:t>Clawsome should position itself as the easiest way for an SME to get its first useful agent live, prove value quickly, and begin a broader agentic programme from a position of trust and evidence.</w:t>
      </w:r>
    </w:p>
    <w:p>
      <w:pPr>
        <w:pStyle w:val="SubsectionCustom"/>
        <w:spacing w:before="80" w:after="80" w:line="240" w:lineRule="auto"/>
      </w:pPr>
      <w:r>
        <w:t>Core Model at a Glance</w:t>
      </w:r>
    </w:p>
    <w:tbl>
      <w:tblPr>
        <w:tblW w:type="auto" w:w="0"/>
        <w:jc w:val="center"/>
        <w:tblLayout w:type="fixed"/>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3312"/>
        <w:gridCol w:w="3312"/>
        <w:gridCol w:w="3312"/>
      </w:tblGrid>
      <w:tr>
        <w:tc>
          <w:tcPr>
            <w:tcW w:type="dxa" w:w="2016"/>
            <w:shd w:fill="EAF1F8"/>
            <w:tcMar>
              <w:top w:w="90" w:type="dxa"/>
              <w:start w:w="90" w:type="dxa"/>
              <w:bottom w:w="90" w:type="dxa"/>
              <w:end w:w="90" w:type="dxa"/>
            </w:tcMar>
            <w:vAlign w:val="center"/>
          </w:tcPr>
          <w:p>
            <w:r>
              <w:t>Element</w:t>
            </w:r>
          </w:p>
        </w:tc>
        <w:tc>
          <w:tcPr>
            <w:tcW w:type="dxa" w:w="3744"/>
            <w:shd w:fill="EAF1F8"/>
            <w:tcMar>
              <w:top w:w="90" w:type="dxa"/>
              <w:start w:w="90" w:type="dxa"/>
              <w:bottom w:w="90" w:type="dxa"/>
              <w:end w:w="90" w:type="dxa"/>
            </w:tcMar>
            <w:vAlign w:val="center"/>
          </w:tcPr>
          <w:p>
            <w:r>
              <w:t>Definition</w:t>
            </w:r>
          </w:p>
        </w:tc>
        <w:tc>
          <w:tcPr>
            <w:tcW w:type="dxa" w:w="3744"/>
            <w:shd w:fill="EAF1F8"/>
            <w:tcMar>
              <w:top w:w="90" w:type="dxa"/>
              <w:start w:w="90" w:type="dxa"/>
              <w:bottom w:w="90" w:type="dxa"/>
              <w:end w:w="90" w:type="dxa"/>
            </w:tcMar>
            <w:vAlign w:val="center"/>
          </w:tcPr>
          <w:p>
            <w:r>
              <w:t>Implication</w:t>
            </w:r>
          </w:p>
        </w:tc>
      </w:tr>
      <w:tr>
        <w:tc>
          <w:tcPr>
            <w:tcW w:type="dxa" w:w="2016"/>
            <w:tcMar>
              <w:top w:w="95" w:type="dxa"/>
              <w:start w:w="95" w:type="dxa"/>
              <w:bottom w:w="95" w:type="dxa"/>
              <w:end w:w="95" w:type="dxa"/>
            </w:tcMar>
            <w:vAlign w:val="center"/>
          </w:tcPr>
          <w:p>
            <w:r>
              <w:t>Category</w:t>
            </w:r>
          </w:p>
        </w:tc>
        <w:tc>
          <w:tcPr>
            <w:tcW w:type="dxa" w:w="3744"/>
            <w:tcMar>
              <w:top w:w="95" w:type="dxa"/>
              <w:start w:w="95" w:type="dxa"/>
              <w:bottom w:w="95" w:type="dxa"/>
              <w:end w:w="95" w:type="dxa"/>
            </w:tcMar>
            <w:vAlign w:val="center"/>
          </w:tcPr>
          <w:p>
            <w:r>
              <w:t>Practical AI agent setup partner for SMEs</w:t>
            </w:r>
          </w:p>
        </w:tc>
        <w:tc>
          <w:tcPr>
            <w:tcW w:type="dxa" w:w="3744"/>
            <w:tcMar>
              <w:top w:w="95" w:type="dxa"/>
              <w:start w:w="95" w:type="dxa"/>
              <w:bottom w:w="95" w:type="dxa"/>
              <w:end w:w="95" w:type="dxa"/>
            </w:tcMar>
            <w:vAlign w:val="center"/>
          </w:tcPr>
          <w:p>
            <w:r>
              <w:t>Explain Clawsome in plain commercial terms and anchor it in business outcomes</w:t>
            </w:r>
          </w:p>
        </w:tc>
      </w:tr>
      <w:tr>
        <w:tc>
          <w:tcPr>
            <w:tcW w:type="dxa" w:w="2016"/>
            <w:tcMar>
              <w:top w:w="95" w:type="dxa"/>
              <w:start w:w="95" w:type="dxa"/>
              <w:bottom w:w="95" w:type="dxa"/>
              <w:end w:w="95" w:type="dxa"/>
            </w:tcMar>
            <w:vAlign w:val="center"/>
            <w:shd w:fill="F8FAFC"/>
          </w:tcPr>
          <w:p>
            <w:r>
              <w:t>Front-door offer</w:t>
            </w:r>
          </w:p>
        </w:tc>
        <w:tc>
          <w:tcPr>
            <w:tcW w:type="dxa" w:w="3744"/>
            <w:tcMar>
              <w:top w:w="95" w:type="dxa"/>
              <w:start w:w="95" w:type="dxa"/>
              <w:bottom w:w="95" w:type="dxa"/>
              <w:end w:w="95" w:type="dxa"/>
            </w:tcMar>
            <w:vAlign w:val="center"/>
            <w:shd w:fill="F8FAFC"/>
          </w:tcPr>
          <w:p>
            <w:r>
              <w:t>Quick-win single-agent sprint</w:t>
            </w:r>
          </w:p>
        </w:tc>
        <w:tc>
          <w:tcPr>
            <w:tcW w:type="dxa" w:w="3744"/>
            <w:tcMar>
              <w:top w:w="95" w:type="dxa"/>
              <w:start w:w="95" w:type="dxa"/>
              <w:bottom w:w="95" w:type="dxa"/>
              <w:end w:w="95" w:type="dxa"/>
            </w:tcMar>
            <w:vAlign w:val="center"/>
            <w:shd w:fill="F8FAFC"/>
          </w:tcPr>
          <w:p>
            <w:r>
              <w:t>Lead with one bounded deployment that creates fast proof</w:t>
            </w:r>
          </w:p>
        </w:tc>
      </w:tr>
      <w:tr>
        <w:tc>
          <w:tcPr>
            <w:tcW w:type="dxa" w:w="2016"/>
            <w:tcMar>
              <w:top w:w="95" w:type="dxa"/>
              <w:start w:w="95" w:type="dxa"/>
              <w:bottom w:w="95" w:type="dxa"/>
              <w:end w:w="95" w:type="dxa"/>
            </w:tcMar>
            <w:vAlign w:val="center"/>
          </w:tcPr>
          <w:p>
            <w:r>
              <w:t>Technology</w:t>
            </w:r>
          </w:p>
        </w:tc>
        <w:tc>
          <w:tcPr>
            <w:tcW w:type="dxa" w:w="3744"/>
            <w:tcMar>
              <w:top w:w="95" w:type="dxa"/>
              <w:start w:w="95" w:type="dxa"/>
              <w:bottom w:w="95" w:type="dxa"/>
              <w:end w:w="95" w:type="dxa"/>
            </w:tcMar>
            <w:vAlign w:val="center"/>
          </w:tcPr>
          <w:p>
            <w:r>
              <w:t>OpenClaw plus Claude core stack</w:t>
            </w:r>
          </w:p>
        </w:tc>
        <w:tc>
          <w:tcPr>
            <w:tcW w:type="dxa" w:w="3744"/>
            <w:tcMar>
              <w:top w:w="95" w:type="dxa"/>
              <w:start w:w="95" w:type="dxa"/>
              <w:bottom w:w="95" w:type="dxa"/>
              <w:end w:w="95" w:type="dxa"/>
            </w:tcMar>
            <w:vAlign w:val="center"/>
          </w:tcPr>
          <w:p>
            <w:r>
              <w:t>Use the stack as credibility, but keep the message outcome-led</w:t>
            </w:r>
          </w:p>
        </w:tc>
      </w:tr>
      <w:tr>
        <w:tc>
          <w:tcPr>
            <w:tcW w:type="dxa" w:w="2016"/>
            <w:tcMar>
              <w:top w:w="95" w:type="dxa"/>
              <w:start w:w="95" w:type="dxa"/>
              <w:bottom w:w="95" w:type="dxa"/>
              <w:end w:w="95" w:type="dxa"/>
            </w:tcMar>
            <w:vAlign w:val="center"/>
            <w:shd w:fill="F8FAFC"/>
          </w:tcPr>
          <w:p>
            <w:r>
              <w:t>Growth path</w:t>
            </w:r>
          </w:p>
        </w:tc>
        <w:tc>
          <w:tcPr>
            <w:tcW w:type="dxa" w:w="3744"/>
            <w:tcMar>
              <w:top w:w="95" w:type="dxa"/>
              <w:start w:w="95" w:type="dxa"/>
              <w:bottom w:w="95" w:type="dxa"/>
              <w:end w:w="95" w:type="dxa"/>
            </w:tcMar>
            <w:vAlign w:val="center"/>
            <w:shd w:fill="F8FAFC"/>
          </w:tcPr>
          <w:p>
            <w:r>
              <w:t>Move from quick wins to packs to recurring agent operations</w:t>
            </w:r>
          </w:p>
        </w:tc>
        <w:tc>
          <w:tcPr>
            <w:tcW w:type="dxa" w:w="3744"/>
            <w:tcMar>
              <w:top w:w="95" w:type="dxa"/>
              <w:start w:w="95" w:type="dxa"/>
              <w:bottom w:w="95" w:type="dxa"/>
              <w:end w:w="95" w:type="dxa"/>
            </w:tcMar>
            <w:vAlign w:val="center"/>
            <w:shd w:fill="F8FAFC"/>
          </w:tcPr>
          <w:p>
            <w:r>
              <w:t>Make larger builds the expansion path after proof</w:t>
            </w:r>
          </w:p>
        </w:tc>
      </w:tr>
      <w:tr>
        <w:tc>
          <w:tcPr>
            <w:tcW w:type="dxa" w:w="2016"/>
            <w:tcMar>
              <w:top w:w="95" w:type="dxa"/>
              <w:start w:w="95" w:type="dxa"/>
              <w:bottom w:w="95" w:type="dxa"/>
              <w:end w:w="95" w:type="dxa"/>
            </w:tcMar>
            <w:vAlign w:val="center"/>
          </w:tcPr>
          <w:p>
            <w:r>
              <w:t>Website</w:t>
            </w:r>
          </w:p>
        </w:tc>
        <w:tc>
          <w:tcPr>
            <w:tcW w:type="dxa" w:w="3744"/>
            <w:tcMar>
              <w:top w:w="95" w:type="dxa"/>
              <w:start w:w="95" w:type="dxa"/>
              <w:bottom w:w="95" w:type="dxa"/>
              <w:end w:w="95" w:type="dxa"/>
            </w:tcMar>
            <w:vAlign w:val="center"/>
          </w:tcPr>
          <w:p>
            <w:r>
              <w:t>High-conversion, premium, contemporary design</w:t>
            </w:r>
          </w:p>
        </w:tc>
        <w:tc>
          <w:tcPr>
            <w:tcW w:type="dxa" w:w="3744"/>
            <w:tcMar>
              <w:top w:w="95" w:type="dxa"/>
              <w:start w:w="95" w:type="dxa"/>
              <w:bottom w:w="95" w:type="dxa"/>
              <w:end w:w="95" w:type="dxa"/>
            </w:tcMar>
            <w:vAlign w:val="center"/>
          </w:tcPr>
          <w:p>
            <w:r>
              <w:t>Show three clear example automations and a simple buying journey</w:t>
            </w:r>
          </w:p>
        </w:tc>
      </w:tr>
    </w:tbl>
    <w:p/>
    <w:p>
      <w:pPr>
        <w:pStyle w:val="SectionCustom"/>
        <w:spacing w:before="160" w:after="120" w:line="240" w:lineRule="auto"/>
        <w:pBdr>
          <w:bottom w:val="single" w:sz="6" w:space="1" w:color="D8DDE6"/>
        </w:pBdr>
      </w:pPr>
      <w:r>
        <w:t>Why This Model Works</w:t>
      </w:r>
    </w:p>
    <w:p>
      <w:pPr>
        <w:spacing w:before="0" w:after="120" w:line="276" w:lineRule="auto"/>
      </w:pPr>
      <w:r>
        <w:t>The SME market does not want an abstract education in agents. It wants a useful, safe, financially legible automation that removes pain quickly.</w:t>
      </w:r>
    </w:p>
    <w:p>
      <w:pPr>
        <w:pStyle w:val="BulletCustom"/>
        <w:spacing w:before="0" w:after="50" w:line="264" w:lineRule="auto"/>
      </w:pPr>
      <w:r>
        <w:t>It reduces conceptual friction. Buyers can understand one painful workflow more easily than a broad automation roadmap.</w:t>
      </w:r>
    </w:p>
    <w:p>
      <w:pPr>
        <w:pStyle w:val="BulletCustom"/>
        <w:spacing w:before="0" w:after="50" w:line="264" w:lineRule="auto"/>
      </w:pPr>
      <w:r>
        <w:t>It lowers perceived risk. A single bounded deployment feels safer than a cross-functional AI transformation programme.</w:t>
      </w:r>
    </w:p>
    <w:p>
      <w:pPr>
        <w:pStyle w:val="BulletCustom"/>
        <w:spacing w:before="0" w:after="50" w:line="264" w:lineRule="auto"/>
      </w:pPr>
      <w:r>
        <w:t>It creates faster proof. One quick win can be demonstrated in weeks and tied to labour hours, response speed, cash collection, or campaign output.</w:t>
      </w:r>
    </w:p>
    <w:p>
      <w:pPr>
        <w:pStyle w:val="BulletCustom"/>
        <w:spacing w:before="0" w:after="50" w:line="264" w:lineRule="auto"/>
      </w:pPr>
      <w:r>
        <w:t>It strengthens the upsell path. Once a client has one working agent, the second and third agent become much easier to sell.</w:t>
      </w:r>
    </w:p>
    <w:p>
      <w:pPr>
        <w:pStyle w:val="BulletCustom"/>
        <w:spacing w:before="0" w:after="50" w:line="264" w:lineRule="auto"/>
      </w:pPr>
      <w:r>
        <w:t>It makes Clawsome look commercially serious. The offer becomes outcome-led and productised rather than consultancy-shaped.</w:t>
      </w:r>
    </w:p>
    <w:p>
      <w:pPr>
        <w:spacing w:before="0" w:after="120" w:line="276" w:lineRule="auto"/>
      </w:pPr>
      <w:r>
        <w:t>Clawsome is built to grow from quick wins into multi-agent systems, vertical packs, and managed agent operations. The point is to enter through the most buyable door and then expand from proven value.</w:t>
      </w:r>
    </w:p>
    <w:p>
      <w:pPr>
        <w:pStyle w:val="SubsectionCustom"/>
        <w:spacing w:before="80" w:after="80" w:line="240" w:lineRule="auto"/>
      </w:pPr>
      <w:r>
        <w:t>Category and Positioning</w:t>
      </w:r>
    </w:p>
    <w:p>
      <w:pPr>
        <w:spacing w:before="0" w:after="120" w:line="276" w:lineRule="auto"/>
      </w:pPr>
      <w:r>
        <w:t>Recommended market-facing description:</w:t>
      </w:r>
    </w:p>
    <w:p>
      <w:pPr>
        <w:pStyle w:val="QuoteCustom"/>
        <w:spacing w:before="0" w:after="160" w:line="288" w:lineRule="auto"/>
      </w:pPr>
      <w:r>
        <w:t>Clawsome builds practical AI agents for small and medium businesses. We use OpenClaw and Claude to set up high-value automations that save time, recover revenue, and take repetitive work off your team.</w:t>
      </w:r>
    </w:p>
    <w:p>
      <w:pPr>
        <w:spacing w:before="0" w:after="120" w:line="276" w:lineRule="auto"/>
      </w:pPr>
      <w:r>
        <w:t>Recommended framing hierarchy:</w:t>
      </w:r>
    </w:p>
    <w:p>
      <w:pPr>
        <w:pStyle w:val="BulletCustom"/>
        <w:spacing w:before="0" w:after="50" w:line="264" w:lineRule="auto"/>
      </w:pPr>
      <w:r>
        <w:t>Primary line: Agents work now.</w:t>
      </w:r>
    </w:p>
    <w:p>
      <w:pPr>
        <w:pStyle w:val="BulletCustom"/>
        <w:spacing w:before="0" w:after="50" w:line="264" w:lineRule="auto"/>
      </w:pPr>
      <w:r>
        <w:t>Secondary line: We can set them up for you and start your journey.</w:t>
      </w:r>
    </w:p>
    <w:p>
      <w:pPr>
        <w:pStyle w:val="BulletCustom"/>
        <w:spacing w:before="0" w:after="50" w:line="264" w:lineRule="auto"/>
      </w:pPr>
      <w:r>
        <w:t>Operational explanation: Start with one quick win. Prove the payoff. Expand from there.</w:t>
      </w:r>
    </w:p>
    <w:p>
      <w:pPr>
        <w:pStyle w:val="BulletCustom"/>
        <w:spacing w:before="0" w:after="50" w:line="264" w:lineRule="auto"/>
      </w:pPr>
      <w:r>
        <w:t>Trust line: Secure by design, approval-led where needed, and built for real business workflows.</w:t>
      </w:r>
    </w:p>
    <w:p>
      <w:pPr>
        <w:pStyle w:val="SectionCustom"/>
        <w:spacing w:before="160" w:after="120" w:line="240" w:lineRule="auto"/>
        <w:pBdr>
          <w:bottom w:val="single" w:sz="6" w:space="1" w:color="D8DDE6"/>
        </w:pBdr>
      </w:pPr>
      <w:r>
        <w:t>Ideal Early Buyers</w:t>
      </w:r>
    </w:p>
    <w:p>
      <w:pPr>
        <w:spacing w:before="0" w:after="120" w:line="276" w:lineRule="auto"/>
      </w:pPr>
      <w:r>
        <w:t>Clawsome should focus first on businesses with obvious workflow drag, reasonably modern tooling, and a founder or operator who can say yes without a long internal process.</w:t>
      </w:r>
    </w:p>
    <w:tbl>
      <w:tblPr>
        <w:tblW w:type="auto" w:w="0"/>
        <w:jc w:val="center"/>
        <w:tblLayout w:type="fixed"/>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2484"/>
        <w:gridCol w:w="2484"/>
        <w:gridCol w:w="2484"/>
        <w:gridCol w:w="2484"/>
      </w:tblGrid>
      <w:tr>
        <w:tc>
          <w:tcPr>
            <w:tcW w:type="dxa" w:w="1008"/>
            <w:shd w:fill="EAF1F8"/>
            <w:tcMar>
              <w:top w:w="90" w:type="dxa"/>
              <w:start w:w="90" w:type="dxa"/>
              <w:bottom w:w="90" w:type="dxa"/>
              <w:end w:w="90" w:type="dxa"/>
            </w:tcMar>
            <w:vAlign w:val="center"/>
          </w:tcPr>
          <w:p>
            <w:pPr>
              <w:jc w:val="left"/>
            </w:pPr>
            <w:r>
              <w:rPr>
                <w:rFonts w:ascii="Aptos" w:hAnsi="Aptos"/>
                <w:b/>
                <w:color w:val="0E1E36"/>
                <w:sz w:val="18"/>
              </w:rPr>
              <w:t>Priority</w:t>
            </w:r>
          </w:p>
        </w:tc>
        <w:tc>
          <w:tcPr>
            <w:tcW w:type="dxa" w:w="2592"/>
            <w:shd w:fill="EAF1F8"/>
            <w:tcMar>
              <w:top w:w="90" w:type="dxa"/>
              <w:start w:w="90" w:type="dxa"/>
              <w:bottom w:w="90" w:type="dxa"/>
              <w:end w:w="90" w:type="dxa"/>
            </w:tcMar>
            <w:vAlign w:val="center"/>
          </w:tcPr>
          <w:p>
            <w:pPr>
              <w:jc w:val="left"/>
            </w:pPr>
            <w:r>
              <w:rPr>
                <w:rFonts w:ascii="Aptos" w:hAnsi="Aptos"/>
                <w:b/>
                <w:color w:val="0E1E36"/>
                <w:sz w:val="18"/>
              </w:rPr>
              <w:t>Buyer profile</w:t>
            </w:r>
          </w:p>
        </w:tc>
        <w:tc>
          <w:tcPr>
            <w:tcW w:type="dxa" w:w="4032"/>
            <w:shd w:fill="EAF1F8"/>
            <w:tcMar>
              <w:top w:w="90" w:type="dxa"/>
              <w:start w:w="90" w:type="dxa"/>
              <w:bottom w:w="90" w:type="dxa"/>
              <w:end w:w="90" w:type="dxa"/>
            </w:tcMar>
            <w:vAlign w:val="center"/>
          </w:tcPr>
          <w:p>
            <w:r>
              <w:t>Why they fit the model</w:t>
            </w:r>
          </w:p>
        </w:tc>
        <w:tc>
          <w:tcPr>
            <w:tcW w:type="dxa" w:w="2448"/>
            <w:shd w:fill="EAF1F8"/>
            <w:tcMar>
              <w:top w:w="90" w:type="dxa"/>
              <w:start w:w="90" w:type="dxa"/>
              <w:bottom w:w="90" w:type="dxa"/>
              <w:end w:w="90" w:type="dxa"/>
            </w:tcMar>
            <w:vAlign w:val="center"/>
          </w:tcPr>
          <w:p>
            <w:pPr>
              <w:jc w:val="left"/>
            </w:pPr>
            <w:r>
              <w:rPr>
                <w:rFonts w:ascii="Aptos" w:hAnsi="Aptos"/>
                <w:b/>
                <w:color w:val="0E1E36"/>
                <w:sz w:val="18"/>
              </w:rPr>
              <w:t>Best first automation</w:t>
            </w:r>
          </w:p>
        </w:tc>
      </w:tr>
      <w:tr>
        <w:tc>
          <w:tcPr>
            <w:tcW w:type="dxa" w:w="1008"/>
            <w:tcMar>
              <w:top w:w="95" w:type="dxa"/>
              <w:start w:w="95" w:type="dxa"/>
              <w:bottom w:w="95" w:type="dxa"/>
              <w:end w:w="95" w:type="dxa"/>
            </w:tcMar>
            <w:vAlign w:val="center"/>
          </w:tcPr>
          <w:p>
            <w:pPr>
              <w:spacing w:before="0" w:after="0" w:line="259" w:lineRule="auto"/>
              <w:jc w:val="left"/>
            </w:pPr>
            <w:r>
              <w:rPr>
                <w:rFonts w:ascii="Aptos" w:hAnsi="Aptos"/>
                <w:color w:val="1F2937"/>
                <w:sz w:val="18"/>
              </w:rPr>
              <w:t>1</w:t>
            </w:r>
          </w:p>
        </w:tc>
        <w:tc>
          <w:tcPr>
            <w:tcW w:type="dxa" w:w="2592"/>
            <w:tcMar>
              <w:top w:w="95" w:type="dxa"/>
              <w:start w:w="95" w:type="dxa"/>
              <w:bottom w:w="95" w:type="dxa"/>
              <w:end w:w="95" w:type="dxa"/>
            </w:tcMar>
            <w:vAlign w:val="center"/>
          </w:tcPr>
          <w:p>
            <w:pPr>
              <w:spacing w:before="0" w:after="0" w:line="259" w:lineRule="auto"/>
              <w:jc w:val="left"/>
            </w:pPr>
            <w:r>
              <w:rPr>
                <w:rFonts w:ascii="Aptos" w:hAnsi="Aptos"/>
                <w:color w:val="1F2937"/>
                <w:sz w:val="18"/>
              </w:rPr>
              <w:t>Agencies and service firms</w:t>
            </w:r>
          </w:p>
        </w:tc>
        <w:tc>
          <w:tcPr>
            <w:tcW w:type="dxa" w:w="4032"/>
            <w:tcMar>
              <w:top w:w="95" w:type="dxa"/>
              <w:start w:w="95" w:type="dxa"/>
              <w:bottom w:w="95" w:type="dxa"/>
              <w:end w:w="95" w:type="dxa"/>
            </w:tcMar>
            <w:vAlign w:val="center"/>
          </w:tcPr>
          <w:p>
            <w:pPr>
              <w:spacing w:before="0" w:after="0" w:line="259" w:lineRule="auto"/>
              <w:jc w:val="left"/>
            </w:pPr>
            <w:r>
              <w:rPr>
                <w:rFonts w:ascii="Aptos" w:hAnsi="Aptos"/>
                <w:color w:val="1F2937"/>
                <w:sz w:val="18"/>
              </w:rPr>
              <w:t>Fast buying cycles, clear pains, strong visibility of labour waste and lead leakage</w:t>
            </w:r>
          </w:p>
        </w:tc>
        <w:tc>
          <w:tcPr>
            <w:tcW w:type="dxa" w:w="2448"/>
            <w:tcMar>
              <w:top w:w="95" w:type="dxa"/>
              <w:start w:w="95" w:type="dxa"/>
              <w:bottom w:w="95" w:type="dxa"/>
              <w:end w:w="95" w:type="dxa"/>
            </w:tcMar>
            <w:vAlign w:val="center"/>
          </w:tcPr>
          <w:p>
            <w:pPr>
              <w:spacing w:before="0" w:after="0" w:line="259" w:lineRule="auto"/>
              <w:jc w:val="left"/>
            </w:pPr>
            <w:r>
              <w:rPr>
                <w:rFonts w:ascii="Aptos" w:hAnsi="Aptos"/>
                <w:color w:val="1F2937"/>
                <w:sz w:val="18"/>
              </w:rPr>
              <w:t>Meta Ads Agent or Lead Response Agent</w:t>
            </w:r>
          </w:p>
        </w:tc>
      </w:tr>
      <w:tr>
        <w:tc>
          <w:tcPr>
            <w:tcW w:type="dxa" w:w="100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2</w:t>
            </w:r>
          </w:p>
        </w:tc>
        <w:tc>
          <w:tcPr>
            <w:tcW w:type="dxa" w:w="259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Professional services firms</w:t>
            </w:r>
          </w:p>
        </w:tc>
        <w:tc>
          <w:tcPr>
            <w:tcW w:type="dxa" w:w="403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Admin-heavy work, high billable time, strong ROI from document and workflow reduction</w:t>
            </w:r>
          </w:p>
        </w:tc>
        <w:tc>
          <w:tcPr>
            <w:tcW w:type="dxa" w:w="244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Admin Recovery Agent or document triage</w:t>
            </w:r>
          </w:p>
        </w:tc>
      </w:tr>
      <w:tr>
        <w:tc>
          <w:tcPr>
            <w:tcW w:type="dxa" w:w="1008"/>
            <w:tcMar>
              <w:top w:w="95" w:type="dxa"/>
              <w:start w:w="95" w:type="dxa"/>
              <w:bottom w:w="95" w:type="dxa"/>
              <w:end w:w="95" w:type="dxa"/>
            </w:tcMar>
            <w:vAlign w:val="center"/>
          </w:tcPr>
          <w:p>
            <w:pPr>
              <w:spacing w:before="0" w:after="0" w:line="259" w:lineRule="auto"/>
              <w:jc w:val="left"/>
            </w:pPr>
            <w:r>
              <w:rPr>
                <w:rFonts w:ascii="Aptos" w:hAnsi="Aptos"/>
                <w:color w:val="1F2937"/>
                <w:sz w:val="18"/>
              </w:rPr>
              <w:t>3</w:t>
            </w:r>
          </w:p>
        </w:tc>
        <w:tc>
          <w:tcPr>
            <w:tcW w:type="dxa" w:w="2592"/>
            <w:tcMar>
              <w:top w:w="95" w:type="dxa"/>
              <w:start w:w="95" w:type="dxa"/>
              <w:bottom w:w="95" w:type="dxa"/>
              <w:end w:w="95" w:type="dxa"/>
            </w:tcMar>
            <w:vAlign w:val="center"/>
          </w:tcPr>
          <w:p>
            <w:pPr>
              <w:spacing w:before="0" w:after="0" w:line="259" w:lineRule="auto"/>
              <w:jc w:val="left"/>
            </w:pPr>
            <w:r>
              <w:rPr>
                <w:rFonts w:ascii="Aptos" w:hAnsi="Aptos"/>
                <w:color w:val="1F2937"/>
                <w:sz w:val="18"/>
              </w:rPr>
              <w:t>Founder-led B2B SMEs</w:t>
            </w:r>
          </w:p>
        </w:tc>
        <w:tc>
          <w:tcPr>
            <w:tcW w:type="dxa" w:w="4032"/>
            <w:tcMar>
              <w:top w:w="95" w:type="dxa"/>
              <w:start w:w="95" w:type="dxa"/>
              <w:bottom w:w="95" w:type="dxa"/>
              <w:end w:w="95" w:type="dxa"/>
            </w:tcMar>
            <w:vAlign w:val="center"/>
          </w:tcPr>
          <w:p>
            <w:pPr>
              <w:spacing w:before="0" w:after="0" w:line="259" w:lineRule="auto"/>
              <w:jc w:val="left"/>
            </w:pPr>
            <w:r>
              <w:rPr>
                <w:rFonts w:ascii="Aptos" w:hAnsi="Aptos"/>
                <w:color w:val="1F2937"/>
                <w:sz w:val="18"/>
              </w:rPr>
              <w:t>High sensitivity to missed follow-up and operational drag</w:t>
            </w:r>
          </w:p>
        </w:tc>
        <w:tc>
          <w:tcPr>
            <w:tcW w:type="dxa" w:w="2448"/>
            <w:tcMar>
              <w:top w:w="95" w:type="dxa"/>
              <w:start w:w="95" w:type="dxa"/>
              <w:bottom w:w="95" w:type="dxa"/>
              <w:end w:w="95" w:type="dxa"/>
            </w:tcMar>
            <w:vAlign w:val="center"/>
          </w:tcPr>
          <w:p>
            <w:pPr>
              <w:spacing w:before="0" w:after="0" w:line="259" w:lineRule="auto"/>
              <w:jc w:val="left"/>
            </w:pPr>
            <w:r>
              <w:rPr>
                <w:rFonts w:ascii="Aptos" w:hAnsi="Aptos"/>
                <w:color w:val="1F2937"/>
                <w:sz w:val="18"/>
              </w:rPr>
              <w:t>Lead qualification and follow-up</w:t>
            </w:r>
          </w:p>
        </w:tc>
      </w:tr>
      <w:tr>
        <w:tc>
          <w:tcPr>
            <w:tcW w:type="dxa" w:w="100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4</w:t>
            </w:r>
          </w:p>
        </w:tc>
        <w:tc>
          <w:tcPr>
            <w:tcW w:type="dxa" w:w="259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Operationally stretched admin-heavy SMEs</w:t>
            </w:r>
          </w:p>
        </w:tc>
        <w:tc>
          <w:tcPr>
            <w:tcW w:type="dxa" w:w="403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Universal pain around chasing, triage, and repetitive coordination</w:t>
            </w:r>
          </w:p>
        </w:tc>
        <w:tc>
          <w:tcPr>
            <w:tcW w:type="dxa" w:w="244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Invoice chasing, request routing, or status update workflows</w:t>
            </w:r>
          </w:p>
        </w:tc>
      </w:tr>
    </w:tbl>
    <w:p/>
    <w:p>
      <w:pPr>
        <w:spacing w:before="0" w:after="120" w:line="276" w:lineRule="auto"/>
      </w:pPr>
      <w:r>
        <w:t>Clawsome should avoid looking too horizontal and vague. The correct move is to lead with a few vivid, universal use cases and prove that the business understands day-to-day workflow pain.</w:t>
      </w:r>
    </w:p>
    <w:p>
      <w:pPr>
        <w:pStyle w:val="SubsectionCustom"/>
        <w:spacing w:before="80" w:after="80" w:line="240" w:lineRule="auto"/>
      </w:pPr>
      <w:r>
        <w:t>The Three Website Hero Use Cases</w:t>
      </w:r>
    </w:p>
    <w:tbl>
      <w:tblPr>
        <w:tblW w:type="auto" w:w="0"/>
        <w:jc w:val="center"/>
        <w:tblLayout w:type="fixed"/>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2484"/>
        <w:gridCol w:w="2484"/>
        <w:gridCol w:w="2484"/>
        <w:gridCol w:w="2484"/>
      </w:tblGrid>
      <w:tr>
        <w:tc>
          <w:tcPr>
            <w:tcW w:type="dxa" w:w="2160"/>
            <w:shd w:fill="EAF1F8"/>
            <w:tcMar>
              <w:top w:w="90" w:type="dxa"/>
              <w:start w:w="90" w:type="dxa"/>
              <w:bottom w:w="90" w:type="dxa"/>
              <w:end w:w="90" w:type="dxa"/>
            </w:tcMar>
            <w:vAlign w:val="center"/>
          </w:tcPr>
          <w:p>
            <w:pPr>
              <w:jc w:val="left"/>
            </w:pPr>
            <w:r>
              <w:rPr>
                <w:rFonts w:ascii="Aptos" w:hAnsi="Aptos"/>
                <w:b/>
                <w:color w:val="0E1E36"/>
                <w:sz w:val="18"/>
              </w:rPr>
              <w:t>Use case</w:t>
            </w:r>
          </w:p>
        </w:tc>
        <w:tc>
          <w:tcPr>
            <w:tcW w:type="dxa" w:w="4176"/>
            <w:shd w:fill="EAF1F8"/>
            <w:tcMar>
              <w:top w:w="90" w:type="dxa"/>
              <w:start w:w="90" w:type="dxa"/>
              <w:bottom w:w="90" w:type="dxa"/>
              <w:end w:w="90" w:type="dxa"/>
            </w:tcMar>
            <w:vAlign w:val="center"/>
          </w:tcPr>
          <w:p>
            <w:pPr>
              <w:jc w:val="left"/>
            </w:pPr>
            <w:r>
              <w:rPr>
                <w:rFonts w:ascii="Aptos" w:hAnsi="Aptos"/>
                <w:b/>
                <w:color w:val="0E1E36"/>
                <w:sz w:val="18"/>
              </w:rPr>
              <w:t>What the agent does</w:t>
            </w:r>
          </w:p>
        </w:tc>
        <w:tc>
          <w:tcPr>
            <w:tcW w:type="dxa" w:w="2448"/>
            <w:shd w:fill="EAF1F8"/>
            <w:tcMar>
              <w:top w:w="90" w:type="dxa"/>
              <w:start w:w="90" w:type="dxa"/>
              <w:bottom w:w="90" w:type="dxa"/>
              <w:end w:w="90" w:type="dxa"/>
            </w:tcMar>
            <w:vAlign w:val="center"/>
          </w:tcPr>
          <w:p>
            <w:pPr>
              <w:jc w:val="left"/>
            </w:pPr>
            <w:r>
              <w:rPr>
                <w:rFonts w:ascii="Aptos" w:hAnsi="Aptos"/>
                <w:b/>
                <w:color w:val="0E1E36"/>
                <w:sz w:val="18"/>
              </w:rPr>
              <w:t>Why it sells</w:t>
            </w:r>
          </w:p>
        </w:tc>
        <w:tc>
          <w:tcPr>
            <w:tcW w:type="dxa" w:w="2160"/>
            <w:shd w:fill="EAF1F8"/>
            <w:tcMar>
              <w:top w:w="90" w:type="dxa"/>
              <w:start w:w="90" w:type="dxa"/>
              <w:bottom w:w="90" w:type="dxa"/>
              <w:end w:w="90" w:type="dxa"/>
            </w:tcMar>
            <w:vAlign w:val="center"/>
          </w:tcPr>
          <w:p>
            <w:pPr>
              <w:jc w:val="left"/>
            </w:pPr>
            <w:r>
              <w:rPr>
                <w:rFonts w:ascii="Aptos" w:hAnsi="Aptos"/>
                <w:b/>
                <w:color w:val="0E1E36"/>
                <w:sz w:val="18"/>
              </w:rPr>
              <w:t>Commercial proof to show</w:t>
            </w:r>
          </w:p>
        </w:tc>
      </w:tr>
      <w:tr>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Meta Ads Agent</w:t>
            </w:r>
          </w:p>
        </w:tc>
        <w:tc>
          <w:tcPr>
            <w:tcW w:type="dxa" w:w="4176"/>
            <w:tcMar>
              <w:top w:w="95" w:type="dxa"/>
              <w:start w:w="95" w:type="dxa"/>
              <w:bottom w:w="95" w:type="dxa"/>
              <w:end w:w="95" w:type="dxa"/>
            </w:tcMar>
            <w:vAlign w:val="center"/>
          </w:tcPr>
          <w:p>
            <w:pPr>
              <w:spacing w:before="0" w:after="0" w:line="259" w:lineRule="auto"/>
              <w:jc w:val="left"/>
            </w:pPr>
            <w:r>
              <w:rPr>
                <w:rFonts w:ascii="Aptos" w:hAnsi="Aptos"/>
                <w:color w:val="1F2937"/>
                <w:sz w:val="18"/>
              </w:rPr>
              <w:t>Turns an offer and brief into ad variants, routes assets and copy into campaign workflow, and accelerates test setup</w:t>
            </w:r>
          </w:p>
        </w:tc>
        <w:tc>
          <w:tcPr>
            <w:tcW w:type="dxa" w:w="2448"/>
            <w:tcMar>
              <w:top w:w="95" w:type="dxa"/>
              <w:start w:w="95" w:type="dxa"/>
              <w:bottom w:w="95" w:type="dxa"/>
              <w:end w:w="95" w:type="dxa"/>
            </w:tcMar>
            <w:vAlign w:val="center"/>
          </w:tcPr>
          <w:p>
            <w:pPr>
              <w:spacing w:before="0" w:after="0" w:line="259" w:lineRule="auto"/>
              <w:jc w:val="left"/>
            </w:pPr>
            <w:r>
              <w:rPr>
                <w:rFonts w:ascii="Aptos" w:hAnsi="Aptos"/>
                <w:color w:val="1F2937"/>
                <w:sz w:val="18"/>
              </w:rPr>
              <w:t>Directly linked to growth and easy to visualise</w:t>
            </w:r>
          </w:p>
        </w:tc>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Faster campaign setup, more variants tested, lower production time per campaign</w:t>
            </w:r>
          </w:p>
        </w:tc>
      </w:tr>
      <w:tr>
        <w:tc>
          <w:tcPr>
            <w:tcW w:type="dxa" w:w="216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Lead Response Agent</w:t>
            </w:r>
          </w:p>
        </w:tc>
        <w:tc>
          <w:tcPr>
            <w:tcW w:type="dxa" w:w="4176"/>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Monitors enquiries, enriches leads, drafts or sends replies, routes hot prospects, and protects follow-up discipline</w:t>
            </w:r>
          </w:p>
        </w:tc>
        <w:tc>
          <w:tcPr>
            <w:tcW w:type="dxa" w:w="244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Lost leads are intuitive and expensive</w:t>
            </w:r>
          </w:p>
        </w:tc>
        <w:tc>
          <w:tcPr>
            <w:tcW w:type="dxa" w:w="216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Faster response time, more meetings booked, lower drop-off</w:t>
            </w:r>
          </w:p>
        </w:tc>
      </w:tr>
      <w:tr>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Admin Recovery Agent</w:t>
            </w:r>
          </w:p>
        </w:tc>
        <w:tc>
          <w:tcPr>
            <w:tcW w:type="dxa" w:w="4176"/>
            <w:tcMar>
              <w:top w:w="95" w:type="dxa"/>
              <w:start w:w="95" w:type="dxa"/>
              <w:bottom w:w="95" w:type="dxa"/>
              <w:end w:w="95" w:type="dxa"/>
            </w:tcMar>
            <w:vAlign w:val="center"/>
          </w:tcPr>
          <w:p>
            <w:pPr>
              <w:spacing w:before="0" w:after="0" w:line="259" w:lineRule="auto"/>
              <w:jc w:val="left"/>
            </w:pPr>
            <w:r>
              <w:rPr>
                <w:rFonts w:ascii="Aptos" w:hAnsi="Aptos"/>
                <w:color w:val="1F2937"/>
                <w:sz w:val="18"/>
              </w:rPr>
              <w:t>Chases overdue invoices, routes admin tasks, drafts updates, or triages documents into the right next step</w:t>
            </w:r>
          </w:p>
        </w:tc>
        <w:tc>
          <w:tcPr>
            <w:tcW w:type="dxa" w:w="2448"/>
            <w:tcMar>
              <w:top w:w="95" w:type="dxa"/>
              <w:start w:w="95" w:type="dxa"/>
              <w:bottom w:w="95" w:type="dxa"/>
              <w:end w:w="95" w:type="dxa"/>
            </w:tcMar>
            <w:vAlign w:val="center"/>
          </w:tcPr>
          <w:p>
            <w:pPr>
              <w:spacing w:before="0" w:after="0" w:line="259" w:lineRule="auto"/>
              <w:jc w:val="left"/>
            </w:pPr>
            <w:r>
              <w:rPr>
                <w:rFonts w:ascii="Aptos" w:hAnsi="Aptos"/>
                <w:color w:val="1F2937"/>
                <w:sz w:val="18"/>
              </w:rPr>
              <w:t>Cash flow and admin drag matter to almost every SME</w:t>
            </w:r>
          </w:p>
        </w:tc>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Days sales outstanding, admin hours saved, reduced backlog</w:t>
            </w:r>
          </w:p>
        </w:tc>
      </w:tr>
    </w:tbl>
    <w:p/>
    <w:p>
      <w:pPr>
        <w:pStyle w:val="SectionCustom"/>
        <w:spacing w:before="160" w:after="120" w:line="240" w:lineRule="auto"/>
        <w:pBdr>
          <w:bottom w:val="single" w:sz="6" w:space="1" w:color="D8DDE6"/>
        </w:pBdr>
      </w:pPr>
      <w:r>
        <w:t>Offer Architecture</w:t>
      </w:r>
    </w:p>
    <w:p>
      <w:pPr>
        <w:spacing w:before="0" w:after="120" w:line="276" w:lineRule="auto"/>
      </w:pPr>
      <w:r>
        <w:t>The offer stack should feel productised, premium, and easy to buy. The first serious purchase should be a light discovery step that leads rapidly into a bounded build. Each sprint should end with testing, handover, and training for a nominated client-side operator.</w:t>
      </w:r>
    </w:p>
    <w:tbl>
      <w:tblPr>
        <w:tblW w:type="auto" w:w="0"/>
        <w:jc w:val="center"/>
        <w:tblLayout w:type="fixed"/>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2484"/>
        <w:gridCol w:w="2484"/>
        <w:gridCol w:w="2484"/>
        <w:gridCol w:w="2484"/>
      </w:tblGrid>
      <w:tr>
        <w:tc>
          <w:tcPr>
            <w:tcW w:type="dxa" w:w="2160"/>
            <w:shd w:fill="EAF1F8"/>
            <w:tcMar>
              <w:top w:w="90" w:type="dxa"/>
              <w:start w:w="90" w:type="dxa"/>
              <w:bottom w:w="90" w:type="dxa"/>
              <w:end w:w="90" w:type="dxa"/>
            </w:tcMar>
            <w:vAlign w:val="center"/>
          </w:tcPr>
          <w:p>
            <w:pPr>
              <w:jc w:val="left"/>
            </w:pPr>
            <w:r>
              <w:rPr>
                <w:rFonts w:ascii="Aptos" w:hAnsi="Aptos"/>
                <w:b/>
                <w:color w:val="0E1E36"/>
                <w:sz w:val="18"/>
              </w:rPr>
              <w:t>Offer</w:t>
            </w:r>
          </w:p>
        </w:tc>
        <w:tc>
          <w:tcPr>
            <w:tcW w:type="dxa" w:w="2592"/>
            <w:shd w:fill="EAF1F8"/>
            <w:tcMar>
              <w:top w:w="90" w:type="dxa"/>
              <w:start w:w="90" w:type="dxa"/>
              <w:bottom w:w="90" w:type="dxa"/>
              <w:end w:w="90" w:type="dxa"/>
            </w:tcMar>
            <w:vAlign w:val="center"/>
          </w:tcPr>
          <w:p>
            <w:pPr>
              <w:jc w:val="left"/>
            </w:pPr>
            <w:r>
              <w:rPr>
                <w:rFonts w:ascii="Aptos" w:hAnsi="Aptos"/>
                <w:b/>
                <w:color w:val="0E1E36"/>
                <w:sz w:val="18"/>
              </w:rPr>
              <w:t>Purpose</w:t>
            </w:r>
          </w:p>
        </w:tc>
        <w:tc>
          <w:tcPr>
            <w:tcW w:type="dxa" w:w="3888"/>
            <w:shd w:fill="EAF1F8"/>
            <w:tcMar>
              <w:top w:w="90" w:type="dxa"/>
              <w:start w:w="90" w:type="dxa"/>
              <w:bottom w:w="90" w:type="dxa"/>
              <w:end w:w="90" w:type="dxa"/>
            </w:tcMar>
            <w:vAlign w:val="center"/>
          </w:tcPr>
          <w:p>
            <w:pPr>
              <w:jc w:val="left"/>
            </w:pPr>
            <w:r>
              <w:rPr>
                <w:rFonts w:ascii="Aptos" w:hAnsi="Aptos"/>
                <w:b/>
                <w:color w:val="0E1E36"/>
                <w:sz w:val="18"/>
              </w:rPr>
              <w:t>Scope</w:t>
            </w:r>
          </w:p>
        </w:tc>
        <w:tc>
          <w:tcPr>
            <w:tcW w:type="dxa" w:w="2016"/>
            <w:shd w:fill="EAF1F8"/>
            <w:tcMar>
              <w:top w:w="90" w:type="dxa"/>
              <w:start w:w="90" w:type="dxa"/>
              <w:bottom w:w="90" w:type="dxa"/>
              <w:end w:w="90" w:type="dxa"/>
            </w:tcMar>
            <w:vAlign w:val="center"/>
          </w:tcPr>
          <w:p>
            <w:pPr>
              <w:jc w:val="left"/>
            </w:pPr>
            <w:r>
              <w:rPr>
                <w:rFonts w:ascii="Aptos" w:hAnsi="Aptos"/>
                <w:b/>
                <w:color w:val="0E1E36"/>
                <w:sz w:val="18"/>
              </w:rPr>
              <w:t>Recommended role in funnel</w:t>
            </w:r>
          </w:p>
        </w:tc>
      </w:tr>
      <w:tr>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Agent Opportunity Audit</w:t>
            </w:r>
          </w:p>
        </w:tc>
        <w:tc>
          <w:tcPr>
            <w:tcW w:type="dxa" w:w="2592"/>
            <w:tcMar>
              <w:top w:w="95" w:type="dxa"/>
              <w:start w:w="95" w:type="dxa"/>
              <w:bottom w:w="95" w:type="dxa"/>
              <w:end w:w="95" w:type="dxa"/>
            </w:tcMar>
            <w:vAlign w:val="center"/>
          </w:tcPr>
          <w:p>
            <w:pPr>
              <w:spacing w:before="0" w:after="0" w:line="259" w:lineRule="auto"/>
              <w:jc w:val="left"/>
            </w:pPr>
            <w:r>
              <w:rPr>
                <w:rFonts w:ascii="Aptos" w:hAnsi="Aptos"/>
                <w:color w:val="1F2937"/>
                <w:sz w:val="18"/>
              </w:rPr>
              <w:t>Identify the best first workflow</w:t>
            </w:r>
          </w:p>
        </w:tc>
        <w:tc>
          <w:tcPr>
            <w:tcW w:type="dxa" w:w="3888"/>
            <w:tcMar>
              <w:top w:w="95" w:type="dxa"/>
              <w:start w:w="95" w:type="dxa"/>
              <w:bottom w:w="95" w:type="dxa"/>
              <w:end w:w="95" w:type="dxa"/>
            </w:tcMar>
            <w:vAlign w:val="center"/>
          </w:tcPr>
          <w:p>
            <w:pPr>
              <w:spacing w:before="0" w:after="0" w:line="259" w:lineRule="auto"/>
              <w:jc w:val="left"/>
            </w:pPr>
            <w:r>
              <w:rPr>
                <w:rFonts w:ascii="Aptos" w:hAnsi="Aptos"/>
                <w:color w:val="1F2937"/>
                <w:sz w:val="18"/>
              </w:rPr>
              <w:t>Short review, light mapping, quick ROI logic, recommendation of the strongest first agent</w:t>
            </w:r>
          </w:p>
        </w:tc>
        <w:tc>
          <w:tcPr>
            <w:tcW w:type="dxa" w:w="2016"/>
            <w:tcMar>
              <w:top w:w="95" w:type="dxa"/>
              <w:start w:w="95" w:type="dxa"/>
              <w:bottom w:w="95" w:type="dxa"/>
              <w:end w:w="95" w:type="dxa"/>
            </w:tcMar>
            <w:vAlign w:val="center"/>
          </w:tcPr>
          <w:p>
            <w:pPr>
              <w:spacing w:before="0" w:after="0" w:line="259" w:lineRule="auto"/>
              <w:jc w:val="left"/>
            </w:pPr>
            <w:r>
              <w:rPr>
                <w:rFonts w:ascii="Aptos" w:hAnsi="Aptos"/>
                <w:color w:val="1F2937"/>
                <w:sz w:val="18"/>
              </w:rPr>
              <w:t>Low-friction qualifier and buying aid</w:t>
            </w:r>
          </w:p>
        </w:tc>
      </w:tr>
      <w:tr>
        <w:tc>
          <w:tcPr>
            <w:tcW w:type="dxa" w:w="216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Quick-Win Agent Sprint</w:t>
            </w:r>
          </w:p>
        </w:tc>
        <w:tc>
          <w:tcPr>
            <w:tcW w:type="dxa" w:w="259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Build one useful automation fast</w:t>
            </w:r>
          </w:p>
        </w:tc>
        <w:tc>
          <w:tcPr>
            <w:tcW w:type="dxa" w:w="3888"/>
            <w:tcMar>
              <w:top w:w="95" w:type="dxa"/>
              <w:start w:w="95" w:type="dxa"/>
              <w:bottom w:w="95" w:type="dxa"/>
              <w:end w:w="95" w:type="dxa"/>
            </w:tcMar>
            <w:vAlign w:val="center"/>
            <w:shd w:fill="F8FAFC"/>
          </w:tcPr>
          <w:p>
            <w:r>
              <w:t>Single workflow, integrations, human approval steps where needed, testing, training a nominated staff operator, and handover</w:t>
            </w:r>
          </w:p>
        </w:tc>
        <w:tc>
          <w:tcPr>
            <w:tcW w:type="dxa" w:w="2016"/>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Primary front-door offer</w:t>
            </w:r>
          </w:p>
        </w:tc>
      </w:tr>
      <w:tr>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Agent Care Plan</w:t>
            </w:r>
          </w:p>
        </w:tc>
        <w:tc>
          <w:tcPr>
            <w:tcW w:type="dxa" w:w="2592"/>
            <w:tcMar>
              <w:top w:w="95" w:type="dxa"/>
              <w:start w:w="95" w:type="dxa"/>
              <w:bottom w:w="95" w:type="dxa"/>
              <w:end w:w="95" w:type="dxa"/>
            </w:tcMar>
            <w:vAlign w:val="center"/>
          </w:tcPr>
          <w:p>
            <w:pPr>
              <w:spacing w:before="0" w:after="0" w:line="259" w:lineRule="auto"/>
              <w:jc w:val="left"/>
            </w:pPr>
            <w:r>
              <w:rPr>
                <w:rFonts w:ascii="Aptos" w:hAnsi="Aptos"/>
                <w:color w:val="1F2937"/>
                <w:sz w:val="18"/>
              </w:rPr>
              <w:t>Keep the first agent healthy and improving</w:t>
            </w:r>
          </w:p>
        </w:tc>
        <w:tc>
          <w:tcPr>
            <w:tcW w:type="dxa" w:w="3888"/>
            <w:tcMar>
              <w:top w:w="95" w:type="dxa"/>
              <w:start w:w="95" w:type="dxa"/>
              <w:bottom w:w="95" w:type="dxa"/>
              <w:end w:w="95" w:type="dxa"/>
            </w:tcMar>
            <w:vAlign w:val="center"/>
          </w:tcPr>
          <w:p>
            <w:pPr>
              <w:spacing w:before="0" w:after="0" w:line="259" w:lineRule="auto"/>
              <w:jc w:val="left"/>
            </w:pPr>
            <w:r>
              <w:rPr>
                <w:rFonts w:ascii="Aptos" w:hAnsi="Aptos"/>
                <w:color w:val="1F2937"/>
                <w:sz w:val="18"/>
              </w:rPr>
              <w:t>Monitoring, prompt updates, minor refinements, issue response, governance basics</w:t>
            </w:r>
          </w:p>
        </w:tc>
        <w:tc>
          <w:tcPr>
            <w:tcW w:type="dxa" w:w="2016"/>
            <w:tcMar>
              <w:top w:w="95" w:type="dxa"/>
              <w:start w:w="95" w:type="dxa"/>
              <w:bottom w:w="95" w:type="dxa"/>
              <w:end w:w="95" w:type="dxa"/>
            </w:tcMar>
            <w:vAlign w:val="center"/>
          </w:tcPr>
          <w:p>
            <w:pPr>
              <w:spacing w:before="0" w:after="0" w:line="259" w:lineRule="auto"/>
              <w:jc w:val="left"/>
            </w:pPr>
            <w:r>
              <w:rPr>
                <w:rFonts w:ascii="Aptos" w:hAnsi="Aptos"/>
                <w:color w:val="1F2937"/>
                <w:sz w:val="18"/>
              </w:rPr>
              <w:t>Light recurring revenue layer</w:t>
            </w:r>
          </w:p>
        </w:tc>
      </w:tr>
      <w:tr>
        <w:tc>
          <w:tcPr>
            <w:tcW w:type="dxa" w:w="216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Expansion Build</w:t>
            </w:r>
          </w:p>
        </w:tc>
        <w:tc>
          <w:tcPr>
            <w:tcW w:type="dxa" w:w="259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Add second or third agents or more complex workflows</w:t>
            </w:r>
          </w:p>
        </w:tc>
        <w:tc>
          <w:tcPr>
            <w:tcW w:type="dxa" w:w="388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Multi-step or multi-tool systems, cross-team automations, deeper operational design</w:t>
            </w:r>
          </w:p>
        </w:tc>
        <w:tc>
          <w:tcPr>
            <w:tcW w:type="dxa" w:w="2016"/>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Upsell after proof</w:t>
            </w:r>
          </w:p>
        </w:tc>
      </w:tr>
      <w:tr>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Managed Agent Operations</w:t>
            </w:r>
          </w:p>
        </w:tc>
        <w:tc>
          <w:tcPr>
            <w:tcW w:type="dxa" w:w="2592"/>
            <w:tcMar>
              <w:top w:w="95" w:type="dxa"/>
              <w:start w:w="95" w:type="dxa"/>
              <w:bottom w:w="95" w:type="dxa"/>
              <w:end w:w="95" w:type="dxa"/>
            </w:tcMar>
            <w:vAlign w:val="center"/>
          </w:tcPr>
          <w:p>
            <w:pPr>
              <w:spacing w:before="0" w:after="0" w:line="259" w:lineRule="auto"/>
              <w:jc w:val="left"/>
            </w:pPr>
            <w:r>
              <w:rPr>
                <w:rFonts w:ascii="Aptos" w:hAnsi="Aptos"/>
                <w:color w:val="1F2937"/>
                <w:sz w:val="18"/>
              </w:rPr>
              <w:t>Operate a wider estate of automations</w:t>
            </w:r>
          </w:p>
        </w:tc>
        <w:tc>
          <w:tcPr>
            <w:tcW w:type="dxa" w:w="3888"/>
            <w:tcMar>
              <w:top w:w="95" w:type="dxa"/>
              <w:start w:w="95" w:type="dxa"/>
              <w:bottom w:w="95" w:type="dxa"/>
              <w:end w:w="95" w:type="dxa"/>
            </w:tcMar>
            <w:vAlign w:val="center"/>
          </w:tcPr>
          <w:p>
            <w:pPr>
              <w:spacing w:before="0" w:after="0" w:line="259" w:lineRule="auto"/>
              <w:jc w:val="left"/>
            </w:pPr>
            <w:r>
              <w:rPr>
                <w:rFonts w:ascii="Aptos" w:hAnsi="Aptos"/>
                <w:color w:val="1F2937"/>
                <w:sz w:val="18"/>
              </w:rPr>
              <w:t>Governance, monitoring, optimisation, cost control, change handling</w:t>
            </w:r>
          </w:p>
        </w:tc>
        <w:tc>
          <w:tcPr>
            <w:tcW w:type="dxa" w:w="2016"/>
            <w:tcMar>
              <w:top w:w="95" w:type="dxa"/>
              <w:start w:w="95" w:type="dxa"/>
              <w:bottom w:w="95" w:type="dxa"/>
              <w:end w:w="95" w:type="dxa"/>
            </w:tcMar>
            <w:vAlign w:val="center"/>
          </w:tcPr>
          <w:p>
            <w:pPr>
              <w:spacing w:before="0" w:after="0" w:line="259" w:lineRule="auto"/>
              <w:jc w:val="left"/>
            </w:pPr>
            <w:r>
              <w:rPr>
                <w:rFonts w:ascii="Aptos" w:hAnsi="Aptos"/>
                <w:color w:val="1F2937"/>
                <w:sz w:val="18"/>
              </w:rPr>
              <w:t>Later-stage retained relationship</w:t>
            </w:r>
          </w:p>
        </w:tc>
      </w:tr>
    </w:tbl>
    <w:p/>
    <w:p>
      <w:pPr>
        <w:pStyle w:val="SubsectionCustom"/>
        <w:spacing w:before="80" w:after="80" w:line="240" w:lineRule="auto"/>
      </w:pPr>
      <w:r>
        <w:t>Recommended Packaging and Pricing</w:t>
      </w:r>
    </w:p>
    <w:p>
      <w:pPr>
        <w:spacing w:before="0" w:after="120" w:line="276" w:lineRule="auto"/>
      </w:pPr>
      <w:r>
        <w:t>Pricing should remain premium enough to signal competence, but light enough to encourage movement. The entry point should feel accessible without making the work look cheap.</w:t>
      </w:r>
    </w:p>
    <w:tbl>
      <w:tblPr>
        <w:tblW w:type="auto" w:w="0"/>
        <w:jc w:val="center"/>
        <w:tblLayout w:type="fixed"/>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3312"/>
        <w:gridCol w:w="3312"/>
        <w:gridCol w:w="3312"/>
      </w:tblGrid>
      <w:tr>
        <w:tc>
          <w:tcPr>
            <w:tcW w:type="dxa" w:w="2592"/>
            <w:shd w:fill="EAF1F8"/>
            <w:tcMar>
              <w:top w:w="90" w:type="dxa"/>
              <w:start w:w="90" w:type="dxa"/>
              <w:bottom w:w="90" w:type="dxa"/>
              <w:end w:w="90" w:type="dxa"/>
            </w:tcMar>
            <w:vAlign w:val="center"/>
          </w:tcPr>
          <w:p>
            <w:pPr>
              <w:jc w:val="left"/>
            </w:pPr>
            <w:r>
              <w:rPr>
                <w:rFonts w:ascii="Aptos" w:hAnsi="Aptos"/>
                <w:b/>
                <w:color w:val="0E1E36"/>
                <w:sz w:val="18"/>
              </w:rPr>
              <w:t>Tier</w:t>
            </w:r>
          </w:p>
        </w:tc>
        <w:tc>
          <w:tcPr>
            <w:tcW w:type="dxa" w:w="2160"/>
            <w:shd w:fill="EAF1F8"/>
            <w:tcMar>
              <w:top w:w="90" w:type="dxa"/>
              <w:start w:w="90" w:type="dxa"/>
              <w:bottom w:w="90" w:type="dxa"/>
              <w:end w:w="90" w:type="dxa"/>
            </w:tcMar>
            <w:vAlign w:val="center"/>
          </w:tcPr>
          <w:p>
            <w:pPr>
              <w:jc w:val="left"/>
            </w:pPr>
            <w:r>
              <w:rPr>
                <w:rFonts w:ascii="Aptos" w:hAnsi="Aptos"/>
                <w:b/>
                <w:color w:val="0E1E36"/>
                <w:sz w:val="18"/>
              </w:rPr>
              <w:t>Indicative price</w:t>
            </w:r>
          </w:p>
        </w:tc>
        <w:tc>
          <w:tcPr>
            <w:tcW w:type="dxa" w:w="5328"/>
            <w:shd w:fill="EAF1F8"/>
            <w:tcMar>
              <w:top w:w="90" w:type="dxa"/>
              <w:start w:w="90" w:type="dxa"/>
              <w:bottom w:w="90" w:type="dxa"/>
              <w:end w:w="90" w:type="dxa"/>
            </w:tcMar>
            <w:vAlign w:val="center"/>
          </w:tcPr>
          <w:p>
            <w:pPr>
              <w:jc w:val="left"/>
            </w:pPr>
            <w:r>
              <w:rPr>
                <w:rFonts w:ascii="Aptos" w:hAnsi="Aptos"/>
                <w:b/>
                <w:color w:val="0E1E36"/>
                <w:sz w:val="18"/>
              </w:rPr>
              <w:t>Commercial logic</w:t>
            </w:r>
          </w:p>
        </w:tc>
      </w:tr>
      <w:tr>
        <w:tc>
          <w:tcPr>
            <w:tcW w:type="dxa" w:w="2592"/>
            <w:tcMar>
              <w:top w:w="95" w:type="dxa"/>
              <w:start w:w="95" w:type="dxa"/>
              <w:bottom w:w="95" w:type="dxa"/>
              <w:end w:w="95" w:type="dxa"/>
            </w:tcMar>
            <w:vAlign w:val="center"/>
          </w:tcPr>
          <w:p>
            <w:pPr>
              <w:spacing w:before="0" w:after="0" w:line="259" w:lineRule="auto"/>
              <w:jc w:val="left"/>
            </w:pPr>
            <w:r>
              <w:rPr>
                <w:rFonts w:ascii="Aptos" w:hAnsi="Aptos"/>
                <w:color w:val="1F2937"/>
                <w:sz w:val="18"/>
              </w:rPr>
              <w:t>Agent Opportunity Audit</w:t>
            </w:r>
          </w:p>
        </w:tc>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£495 to £1,250</w:t>
            </w:r>
          </w:p>
        </w:tc>
        <w:tc>
          <w:tcPr>
            <w:tcW w:type="dxa" w:w="5328"/>
            <w:tcMar>
              <w:top w:w="95" w:type="dxa"/>
              <w:start w:w="95" w:type="dxa"/>
              <w:bottom w:w="95" w:type="dxa"/>
              <w:end w:w="95" w:type="dxa"/>
            </w:tcMar>
            <w:vAlign w:val="center"/>
          </w:tcPr>
          <w:p>
            <w:pPr>
              <w:spacing w:before="0" w:after="0" w:line="259" w:lineRule="auto"/>
              <w:jc w:val="left"/>
            </w:pPr>
            <w:r>
              <w:rPr>
                <w:rFonts w:ascii="Aptos" w:hAnsi="Aptos"/>
                <w:color w:val="1F2937"/>
                <w:sz w:val="18"/>
              </w:rPr>
              <w:t>Small enough to buy quickly, paid enough to filter and create commitment</w:t>
            </w:r>
          </w:p>
        </w:tc>
      </w:tr>
      <w:tr>
        <w:tc>
          <w:tcPr>
            <w:tcW w:type="dxa" w:w="259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Quick-Win Agent Sprint</w:t>
            </w:r>
          </w:p>
        </w:tc>
        <w:tc>
          <w:tcPr>
            <w:tcW w:type="dxa" w:w="216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£2,500 to £6,000</w:t>
            </w:r>
          </w:p>
        </w:tc>
        <w:tc>
          <w:tcPr>
            <w:tcW w:type="dxa" w:w="532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Fixed-fee entry into real deployment with clear value and bounded scope</w:t>
            </w:r>
          </w:p>
        </w:tc>
      </w:tr>
      <w:tr>
        <w:tc>
          <w:tcPr>
            <w:tcW w:type="dxa" w:w="2592"/>
            <w:tcMar>
              <w:top w:w="95" w:type="dxa"/>
              <w:start w:w="95" w:type="dxa"/>
              <w:bottom w:w="95" w:type="dxa"/>
              <w:end w:w="95" w:type="dxa"/>
            </w:tcMar>
            <w:vAlign w:val="center"/>
          </w:tcPr>
          <w:p>
            <w:pPr>
              <w:spacing w:before="0" w:after="0" w:line="259" w:lineRule="auto"/>
              <w:jc w:val="left"/>
            </w:pPr>
            <w:r>
              <w:rPr>
                <w:rFonts w:ascii="Aptos" w:hAnsi="Aptos"/>
                <w:color w:val="1F2937"/>
                <w:sz w:val="18"/>
              </w:rPr>
              <w:t>Agent Care Plan</w:t>
            </w:r>
          </w:p>
        </w:tc>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£250 to £1,250 per month</w:t>
            </w:r>
          </w:p>
        </w:tc>
        <w:tc>
          <w:tcPr>
            <w:tcW w:type="dxa" w:w="5328"/>
            <w:tcMar>
              <w:top w:w="95" w:type="dxa"/>
              <w:start w:w="95" w:type="dxa"/>
              <w:bottom w:w="95" w:type="dxa"/>
              <w:end w:w="95" w:type="dxa"/>
            </w:tcMar>
            <w:vAlign w:val="center"/>
          </w:tcPr>
          <w:p>
            <w:pPr>
              <w:spacing w:before="0" w:after="0" w:line="259" w:lineRule="auto"/>
              <w:jc w:val="left"/>
            </w:pPr>
            <w:r>
              <w:rPr>
                <w:rFonts w:ascii="Aptos" w:hAnsi="Aptos"/>
                <w:color w:val="1F2937"/>
                <w:sz w:val="18"/>
              </w:rPr>
              <w:t>Low-friction maintenance and optimisation layer after deployment</w:t>
            </w:r>
          </w:p>
        </w:tc>
      </w:tr>
      <w:tr>
        <w:tc>
          <w:tcPr>
            <w:tcW w:type="dxa" w:w="259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Expansion Build</w:t>
            </w:r>
          </w:p>
        </w:tc>
        <w:tc>
          <w:tcPr>
            <w:tcW w:type="dxa" w:w="216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£7,500 to £25,000+</w:t>
            </w:r>
          </w:p>
        </w:tc>
        <w:tc>
          <w:tcPr>
            <w:tcW w:type="dxa" w:w="532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Priced by complexity once trust has been earned</w:t>
            </w:r>
          </w:p>
        </w:tc>
      </w:tr>
      <w:tr>
        <w:tc>
          <w:tcPr>
            <w:tcW w:type="dxa" w:w="2592"/>
            <w:tcMar>
              <w:top w:w="95" w:type="dxa"/>
              <w:start w:w="95" w:type="dxa"/>
              <w:bottom w:w="95" w:type="dxa"/>
              <w:end w:w="95" w:type="dxa"/>
            </w:tcMar>
            <w:vAlign w:val="center"/>
          </w:tcPr>
          <w:p>
            <w:pPr>
              <w:spacing w:before="0" w:after="0" w:line="259" w:lineRule="auto"/>
              <w:jc w:val="left"/>
            </w:pPr>
            <w:r>
              <w:rPr>
                <w:rFonts w:ascii="Aptos" w:hAnsi="Aptos"/>
                <w:color w:val="1F2937"/>
                <w:sz w:val="18"/>
              </w:rPr>
              <w:t>Outcome-linked upside where appropriate</w:t>
            </w:r>
          </w:p>
        </w:tc>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Variable</w:t>
            </w:r>
          </w:p>
        </w:tc>
        <w:tc>
          <w:tcPr>
            <w:tcW w:type="dxa" w:w="5328"/>
            <w:tcMar>
              <w:top w:w="95" w:type="dxa"/>
              <w:start w:w="95" w:type="dxa"/>
              <w:bottom w:w="95" w:type="dxa"/>
              <w:end w:w="95" w:type="dxa"/>
            </w:tcMar>
            <w:vAlign w:val="center"/>
          </w:tcPr>
          <w:p>
            <w:pPr>
              <w:spacing w:before="0" w:after="0" w:line="259" w:lineRule="auto"/>
              <w:jc w:val="left"/>
            </w:pPr>
            <w:r>
              <w:rPr>
                <w:rFonts w:ascii="Aptos" w:hAnsi="Aptos"/>
                <w:color w:val="1F2937"/>
                <w:sz w:val="18"/>
              </w:rPr>
              <w:t>Useful for marketing and lead-generation workflows once measurement is mature</w:t>
            </w:r>
          </w:p>
        </w:tc>
      </w:tr>
    </w:tbl>
    <w:p/>
    <w:p>
      <w:pPr>
        <w:spacing w:before="0" w:after="120" w:line="276" w:lineRule="auto"/>
      </w:pPr>
      <w:r>
        <w:t>The commercial ladder should read like this: small paid diagnostic, one useful agent, optional care plan, then expansion. That is far easier for an SME to grasp than a general AI programme.</w:t>
      </w:r>
    </w:p>
    <w:p>
      <w:pPr>
        <w:pStyle w:val="SectionCustom"/>
        <w:spacing w:before="160" w:after="120" w:line="240" w:lineRule="auto"/>
        <w:pBdr>
          <w:bottom w:val="single" w:sz="6" w:space="1" w:color="D8DDE6"/>
        </w:pBdr>
      </w:pPr>
      <w:r>
        <w:t>Website Strategy and Messaging System</w:t>
      </w:r>
    </w:p>
    <w:p>
      <w:pPr>
        <w:spacing w:before="0" w:after="120" w:line="276" w:lineRule="auto"/>
      </w:pPr>
      <w:r>
        <w:t>The website should remain contemporary, premium, and conversion-led, but the story should become simpler. The page should feel less like a broad consultancy brochure and more like a productised specialist service with concrete outcomes.</w:t>
      </w:r>
    </w:p>
    <w:p>
      <w:pPr>
        <w:pStyle w:val="SubsectionCustom"/>
        <w:spacing w:before="80" w:after="80" w:line="240" w:lineRule="auto"/>
      </w:pPr>
      <w:r>
        <w:t>Homepage narrative</w:t>
      </w:r>
    </w:p>
    <w:p>
      <w:pPr>
        <w:pStyle w:val="BulletCustom"/>
        <w:spacing w:before="0" w:after="50" w:line="264" w:lineRule="auto"/>
      </w:pPr>
      <w:r>
        <w:t>Hero line: Agents work now.</w:t>
      </w:r>
    </w:p>
    <w:p>
      <w:pPr>
        <w:pStyle w:val="BulletCustom"/>
        <w:spacing w:before="0" w:after="50" w:line="264" w:lineRule="auto"/>
      </w:pPr>
      <w:r>
        <w:t>Supporting line: We can set them up for you and start your journey.</w:t>
      </w:r>
    </w:p>
    <w:p>
      <w:pPr>
        <w:pStyle w:val="BulletCustom"/>
        <w:spacing w:before="0" w:after="50" w:line="264" w:lineRule="auto"/>
      </w:pPr>
      <w:r>
        <w:t>Clarifier: Practical OpenClaw and Claude automations for high-value business workflows.</w:t>
      </w:r>
    </w:p>
    <w:p>
      <w:pPr>
        <w:pStyle w:val="BulletCustom"/>
        <w:spacing w:before="0" w:after="50" w:line="264" w:lineRule="auto"/>
      </w:pPr>
      <w:r>
        <w:t>Primary CTA: Book a quick-win audit.</w:t>
      </w:r>
    </w:p>
    <w:p>
      <w:pPr>
        <w:pStyle w:val="BulletCustom"/>
        <w:spacing w:before="0" w:after="50" w:line="264" w:lineRule="auto"/>
      </w:pPr>
      <w:r>
        <w:t>Secondary CTA: See example agents.</w:t>
      </w:r>
    </w:p>
    <w:p>
      <w:pPr>
        <w:pStyle w:val="SubsectionCustom"/>
        <w:spacing w:before="80" w:after="80" w:line="240" w:lineRule="auto"/>
      </w:pPr>
      <w:r>
        <w:t>Recommended homepage flow</w:t>
      </w:r>
    </w:p>
    <w:tbl>
      <w:tblPr>
        <w:tblW w:type="auto" w:w="0"/>
        <w:jc w:val="center"/>
        <w:tblLayout w:type="fixed"/>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3312"/>
        <w:gridCol w:w="3312"/>
        <w:gridCol w:w="3312"/>
      </w:tblGrid>
      <w:tr>
        <w:tc>
          <w:tcPr>
            <w:tcW w:type="dxa" w:w="1728"/>
            <w:shd w:fill="EAF1F8"/>
            <w:tcMar>
              <w:top w:w="90" w:type="dxa"/>
              <w:start w:w="90" w:type="dxa"/>
              <w:bottom w:w="90" w:type="dxa"/>
              <w:end w:w="90" w:type="dxa"/>
            </w:tcMar>
            <w:vAlign w:val="center"/>
          </w:tcPr>
          <w:p>
            <w:pPr>
              <w:jc w:val="left"/>
            </w:pPr>
            <w:r>
              <w:rPr>
                <w:rFonts w:ascii="Aptos" w:hAnsi="Aptos"/>
                <w:b/>
                <w:color w:val="0E1E36"/>
                <w:sz w:val="18"/>
              </w:rPr>
              <w:t>Section</w:t>
            </w:r>
          </w:p>
        </w:tc>
        <w:tc>
          <w:tcPr>
            <w:tcW w:type="dxa" w:w="2736"/>
            <w:shd w:fill="EAF1F8"/>
            <w:tcMar>
              <w:top w:w="90" w:type="dxa"/>
              <w:start w:w="90" w:type="dxa"/>
              <w:bottom w:w="90" w:type="dxa"/>
              <w:end w:w="90" w:type="dxa"/>
            </w:tcMar>
            <w:vAlign w:val="center"/>
          </w:tcPr>
          <w:p>
            <w:pPr>
              <w:jc w:val="left"/>
            </w:pPr>
            <w:r>
              <w:rPr>
                <w:rFonts w:ascii="Aptos" w:hAnsi="Aptos"/>
                <w:b/>
                <w:color w:val="0E1E36"/>
                <w:sz w:val="18"/>
              </w:rPr>
              <w:t>Purpose</w:t>
            </w:r>
          </w:p>
        </w:tc>
        <w:tc>
          <w:tcPr>
            <w:tcW w:type="dxa" w:w="5040"/>
            <w:shd w:fill="EAF1F8"/>
            <w:tcMar>
              <w:top w:w="90" w:type="dxa"/>
              <w:start w:w="90" w:type="dxa"/>
              <w:bottom w:w="90" w:type="dxa"/>
              <w:end w:w="90" w:type="dxa"/>
            </w:tcMar>
            <w:vAlign w:val="center"/>
          </w:tcPr>
          <w:p>
            <w:pPr>
              <w:jc w:val="left"/>
            </w:pPr>
            <w:r>
              <w:rPr>
                <w:rFonts w:ascii="Aptos" w:hAnsi="Aptos"/>
                <w:b/>
                <w:color w:val="0E1E36"/>
                <w:sz w:val="18"/>
              </w:rPr>
              <w:t>Content direction</w:t>
            </w:r>
          </w:p>
        </w:tc>
      </w:tr>
      <w:tr>
        <w:tc>
          <w:tcPr>
            <w:tcW w:type="dxa" w:w="1728"/>
            <w:tcMar>
              <w:top w:w="95" w:type="dxa"/>
              <w:start w:w="95" w:type="dxa"/>
              <w:bottom w:w="95" w:type="dxa"/>
              <w:end w:w="95" w:type="dxa"/>
            </w:tcMar>
            <w:vAlign w:val="center"/>
          </w:tcPr>
          <w:p>
            <w:pPr>
              <w:spacing w:before="0" w:after="0" w:line="259" w:lineRule="auto"/>
              <w:jc w:val="left"/>
            </w:pPr>
            <w:r>
              <w:rPr>
                <w:rFonts w:ascii="Aptos" w:hAnsi="Aptos"/>
                <w:color w:val="1F2937"/>
                <w:sz w:val="18"/>
              </w:rPr>
              <w:t>Hero</w:t>
            </w:r>
          </w:p>
        </w:tc>
        <w:tc>
          <w:tcPr>
            <w:tcW w:type="dxa" w:w="2736"/>
            <w:tcMar>
              <w:top w:w="95" w:type="dxa"/>
              <w:start w:w="95" w:type="dxa"/>
              <w:bottom w:w="95" w:type="dxa"/>
              <w:end w:w="95" w:type="dxa"/>
            </w:tcMar>
            <w:vAlign w:val="center"/>
          </w:tcPr>
          <w:p>
            <w:pPr>
              <w:spacing w:before="0" w:after="0" w:line="259" w:lineRule="auto"/>
              <w:jc w:val="left"/>
            </w:pPr>
            <w:r>
              <w:rPr>
                <w:rFonts w:ascii="Aptos" w:hAnsi="Aptos"/>
                <w:color w:val="1F2937"/>
                <w:sz w:val="18"/>
              </w:rPr>
              <w:t>State the offer in one composition</w:t>
            </w:r>
          </w:p>
        </w:tc>
        <w:tc>
          <w:tcPr>
            <w:tcW w:type="dxa" w:w="5040"/>
            <w:tcMar>
              <w:top w:w="95" w:type="dxa"/>
              <w:start w:w="95" w:type="dxa"/>
              <w:bottom w:w="95" w:type="dxa"/>
              <w:end w:w="95" w:type="dxa"/>
            </w:tcMar>
            <w:vAlign w:val="center"/>
          </w:tcPr>
          <w:p>
            <w:pPr>
              <w:spacing w:before="0" w:after="0" w:line="259" w:lineRule="auto"/>
              <w:jc w:val="left"/>
            </w:pPr>
            <w:r>
              <w:rPr>
                <w:rFonts w:ascii="Aptos" w:hAnsi="Aptos"/>
                <w:color w:val="1F2937"/>
                <w:sz w:val="18"/>
              </w:rPr>
              <w:t>Clawsome brand signal, one headline, one supporting sentence, two CTAs, dominant full-bleed visual</w:t>
            </w:r>
          </w:p>
        </w:tc>
      </w:tr>
      <w:tr>
        <w:tc>
          <w:tcPr>
            <w:tcW w:type="dxa" w:w="172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Three example agents</w:t>
            </w:r>
          </w:p>
        </w:tc>
        <w:tc>
          <w:tcPr>
            <w:tcW w:type="dxa" w:w="2736"/>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Make the offer tangible</w:t>
            </w:r>
          </w:p>
        </w:tc>
        <w:tc>
          <w:tcPr>
            <w:tcW w:type="dxa" w:w="504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Meta Ads Agent, Lead Response Agent, Admin Recovery Agent</w:t>
            </w:r>
          </w:p>
        </w:tc>
      </w:tr>
      <w:tr>
        <w:tc>
          <w:tcPr>
            <w:tcW w:type="dxa" w:w="1728"/>
            <w:tcMar>
              <w:top w:w="95" w:type="dxa"/>
              <w:start w:w="95" w:type="dxa"/>
              <w:bottom w:w="95" w:type="dxa"/>
              <w:end w:w="95" w:type="dxa"/>
            </w:tcMar>
            <w:vAlign w:val="center"/>
          </w:tcPr>
          <w:p>
            <w:pPr>
              <w:spacing w:before="0" w:after="0" w:line="259" w:lineRule="auto"/>
              <w:jc w:val="left"/>
            </w:pPr>
            <w:r>
              <w:rPr>
                <w:rFonts w:ascii="Aptos" w:hAnsi="Aptos"/>
                <w:color w:val="1F2937"/>
                <w:sz w:val="18"/>
              </w:rPr>
              <w:t>How it works</w:t>
            </w:r>
          </w:p>
        </w:tc>
        <w:tc>
          <w:tcPr>
            <w:tcW w:type="dxa" w:w="2736"/>
            <w:tcMar>
              <w:top w:w="95" w:type="dxa"/>
              <w:start w:w="95" w:type="dxa"/>
              <w:bottom w:w="95" w:type="dxa"/>
              <w:end w:w="95" w:type="dxa"/>
            </w:tcMar>
            <w:vAlign w:val="center"/>
          </w:tcPr>
          <w:p>
            <w:pPr>
              <w:spacing w:before="0" w:after="0" w:line="259" w:lineRule="auto"/>
              <w:jc w:val="left"/>
            </w:pPr>
            <w:r>
              <w:rPr>
                <w:rFonts w:ascii="Aptos" w:hAnsi="Aptos"/>
                <w:color w:val="1F2937"/>
                <w:sz w:val="18"/>
              </w:rPr>
              <w:t>Reduce fear and explain the sequence</w:t>
            </w:r>
          </w:p>
        </w:tc>
        <w:tc>
          <w:tcPr>
            <w:tcW w:type="dxa" w:w="5040"/>
            <w:tcMar>
              <w:top w:w="95" w:type="dxa"/>
              <w:start w:w="95" w:type="dxa"/>
              <w:bottom w:w="95" w:type="dxa"/>
              <w:end w:w="95" w:type="dxa"/>
            </w:tcMar>
            <w:vAlign w:val="center"/>
          </w:tcPr>
          <w:p>
            <w:pPr>
              <w:spacing w:before="0" w:after="0" w:line="259" w:lineRule="auto"/>
              <w:jc w:val="left"/>
            </w:pPr>
            <w:r>
              <w:rPr>
                <w:rFonts w:ascii="Aptos" w:hAnsi="Aptos"/>
                <w:color w:val="1F2937"/>
                <w:sz w:val="18"/>
              </w:rPr>
              <w:t>Find the workflow, build one agent, prove value, expand</w:t>
            </w:r>
          </w:p>
        </w:tc>
      </w:tr>
      <w:tr>
        <w:tc>
          <w:tcPr>
            <w:tcW w:type="dxa" w:w="172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Trust and control</w:t>
            </w:r>
          </w:p>
        </w:tc>
        <w:tc>
          <w:tcPr>
            <w:tcW w:type="dxa" w:w="2736"/>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Answer risk before it blocks conversion</w:t>
            </w:r>
          </w:p>
        </w:tc>
        <w:tc>
          <w:tcPr>
            <w:tcW w:type="dxa" w:w="504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OpenClaw deployment discipline, approval steps, logging, GDPR-conscious workflow design</w:t>
            </w:r>
          </w:p>
        </w:tc>
      </w:tr>
      <w:tr>
        <w:tc>
          <w:tcPr>
            <w:tcW w:type="dxa" w:w="1728"/>
            <w:tcMar>
              <w:top w:w="95" w:type="dxa"/>
              <w:start w:w="95" w:type="dxa"/>
              <w:bottom w:w="95" w:type="dxa"/>
              <w:end w:w="95" w:type="dxa"/>
            </w:tcMar>
            <w:vAlign w:val="center"/>
          </w:tcPr>
          <w:p>
            <w:pPr>
              <w:spacing w:before="0" w:after="0" w:line="259" w:lineRule="auto"/>
              <w:jc w:val="left"/>
            </w:pPr>
            <w:r>
              <w:rPr>
                <w:rFonts w:ascii="Aptos" w:hAnsi="Aptos"/>
                <w:color w:val="1F2937"/>
                <w:sz w:val="18"/>
              </w:rPr>
              <w:t>ROI estimator</w:t>
            </w:r>
          </w:p>
        </w:tc>
        <w:tc>
          <w:tcPr>
            <w:tcW w:type="dxa" w:w="2736"/>
            <w:tcMar>
              <w:top w:w="95" w:type="dxa"/>
              <w:start w:w="95" w:type="dxa"/>
              <w:bottom w:w="95" w:type="dxa"/>
              <w:end w:w="95" w:type="dxa"/>
            </w:tcMar>
            <w:vAlign w:val="center"/>
          </w:tcPr>
          <w:p>
            <w:pPr>
              <w:spacing w:before="0" w:after="0" w:line="259" w:lineRule="auto"/>
              <w:jc w:val="left"/>
            </w:pPr>
            <w:r>
              <w:rPr>
                <w:rFonts w:ascii="Aptos" w:hAnsi="Aptos"/>
                <w:color w:val="1F2937"/>
                <w:sz w:val="18"/>
              </w:rPr>
              <w:t>Make value explicit</w:t>
            </w:r>
          </w:p>
        </w:tc>
        <w:tc>
          <w:tcPr>
            <w:tcW w:type="dxa" w:w="5040"/>
            <w:tcMar>
              <w:top w:w="95" w:type="dxa"/>
              <w:start w:w="95" w:type="dxa"/>
              <w:bottom w:w="95" w:type="dxa"/>
              <w:end w:w="95" w:type="dxa"/>
            </w:tcMar>
            <w:vAlign w:val="center"/>
          </w:tcPr>
          <w:p>
            <w:pPr>
              <w:spacing w:before="0" w:after="0" w:line="259" w:lineRule="auto"/>
              <w:jc w:val="left"/>
            </w:pPr>
            <w:r>
              <w:rPr>
                <w:rFonts w:ascii="Aptos" w:hAnsi="Aptos"/>
                <w:color w:val="1F2937"/>
                <w:sz w:val="18"/>
              </w:rPr>
              <w:t>Simple calculator or blueprint request</w:t>
            </w:r>
          </w:p>
        </w:tc>
      </w:tr>
      <w:tr>
        <w:tc>
          <w:tcPr>
            <w:tcW w:type="dxa" w:w="172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Proof</w:t>
            </w:r>
          </w:p>
        </w:tc>
        <w:tc>
          <w:tcPr>
            <w:tcW w:type="dxa" w:w="2736"/>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Show the thing working</w:t>
            </w:r>
          </w:p>
        </w:tc>
        <w:tc>
          <w:tcPr>
            <w:tcW w:type="dxa" w:w="504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Short unedited demo clips, before/after process snapshots, clear operational outcomes</w:t>
            </w:r>
          </w:p>
        </w:tc>
      </w:tr>
      <w:tr>
        <w:tc>
          <w:tcPr>
            <w:tcW w:type="dxa" w:w="1728"/>
            <w:tcMar>
              <w:top w:w="95" w:type="dxa"/>
              <w:start w:w="95" w:type="dxa"/>
              <w:bottom w:w="95" w:type="dxa"/>
              <w:end w:w="95" w:type="dxa"/>
            </w:tcMar>
            <w:vAlign w:val="center"/>
          </w:tcPr>
          <w:p>
            <w:pPr>
              <w:spacing w:before="0" w:after="0" w:line="259" w:lineRule="auto"/>
              <w:jc w:val="left"/>
            </w:pPr>
            <w:r>
              <w:rPr>
                <w:rFonts w:ascii="Aptos" w:hAnsi="Aptos"/>
                <w:color w:val="1F2937"/>
                <w:sz w:val="18"/>
              </w:rPr>
              <w:t>Closing CTA</w:t>
            </w:r>
          </w:p>
        </w:tc>
        <w:tc>
          <w:tcPr>
            <w:tcW w:type="dxa" w:w="2736"/>
            <w:tcMar>
              <w:top w:w="95" w:type="dxa"/>
              <w:start w:w="95" w:type="dxa"/>
              <w:bottom w:w="95" w:type="dxa"/>
              <w:end w:w="95" w:type="dxa"/>
            </w:tcMar>
            <w:vAlign w:val="center"/>
          </w:tcPr>
          <w:p>
            <w:pPr>
              <w:spacing w:before="0" w:after="0" w:line="259" w:lineRule="auto"/>
              <w:jc w:val="left"/>
            </w:pPr>
            <w:r>
              <w:rPr>
                <w:rFonts w:ascii="Aptos" w:hAnsi="Aptos"/>
                <w:color w:val="1F2937"/>
                <w:sz w:val="18"/>
              </w:rPr>
              <w:t>Drive to first call</w:t>
            </w:r>
          </w:p>
        </w:tc>
        <w:tc>
          <w:tcPr>
            <w:tcW w:type="dxa" w:w="5040"/>
            <w:tcMar>
              <w:top w:w="95" w:type="dxa"/>
              <w:start w:w="95" w:type="dxa"/>
              <w:bottom w:w="95" w:type="dxa"/>
              <w:end w:w="95" w:type="dxa"/>
            </w:tcMar>
            <w:vAlign w:val="center"/>
          </w:tcPr>
          <w:p>
            <w:pPr>
              <w:spacing w:before="0" w:after="0" w:line="259" w:lineRule="auto"/>
              <w:jc w:val="left"/>
            </w:pPr>
            <w:r>
              <w:rPr>
                <w:rFonts w:ascii="Aptos" w:hAnsi="Aptos"/>
                <w:color w:val="1F2937"/>
                <w:sz w:val="18"/>
              </w:rPr>
              <w:t>Book a quick-win audit or request a use-case review</w:t>
            </w:r>
          </w:p>
        </w:tc>
      </w:tr>
    </w:tbl>
    <w:p/>
    <w:p>
      <w:pPr>
        <w:spacing w:before="0" w:after="120" w:line="276" w:lineRule="auto"/>
      </w:pPr>
      <w:r>
        <w:t>The site should resist the temptation to explain every possible agentic future. Three use cases are enough. Breadth should be implied by the examples and made explicit later in the sales process.</w:t>
      </w:r>
    </w:p>
    <w:p>
      <w:pPr>
        <w:pStyle w:val="SubsectionCustom"/>
        <w:spacing w:before="80" w:after="80" w:line="240" w:lineRule="auto"/>
      </w:pPr>
      <w:r>
        <w:t>Copy principles</w:t>
      </w:r>
    </w:p>
    <w:p>
      <w:pPr>
        <w:pStyle w:val="BulletCustom"/>
        <w:spacing w:before="0" w:after="50" w:line="264" w:lineRule="auto"/>
      </w:pPr>
      <w:r>
        <w:t>Use plain commercial language rather than research-lab vocabulary.</w:t>
      </w:r>
    </w:p>
    <w:p>
      <w:pPr>
        <w:pStyle w:val="BulletCustom"/>
        <w:spacing w:before="0" w:after="50" w:line="264" w:lineRule="auto"/>
      </w:pPr>
      <w:r>
        <w:t>Lead with make money, recover revenue, save time, reduce drag, improve follow-up, and speed response.</w:t>
      </w:r>
    </w:p>
    <w:p>
      <w:pPr>
        <w:pStyle w:val="BulletCustom"/>
        <w:spacing w:before="0" w:after="50" w:line="264" w:lineRule="auto"/>
      </w:pPr>
      <w:r>
        <w:t>Avoid overclaiming autonomy. Say where human approval remains in place.</w:t>
      </w:r>
    </w:p>
    <w:p>
      <w:pPr>
        <w:pStyle w:val="BulletCustom"/>
        <w:spacing w:before="0" w:after="50" w:line="264" w:lineRule="auto"/>
      </w:pPr>
      <w:r>
        <w:t>Use OpenClaw and Claude as credibility anchors, not as the whole story.</w:t>
      </w:r>
    </w:p>
    <w:p>
      <w:pPr>
        <w:pStyle w:val="BulletCustom"/>
        <w:spacing w:before="0" w:after="50" w:line="264" w:lineRule="auto"/>
      </w:pPr>
      <w:r>
        <w:t>Keep the tone clipped, modern, and serious enough to counterbalance the Clawsome name.</w:t>
      </w:r>
    </w:p>
    <w:p>
      <w:pPr>
        <w:pStyle w:val="SectionCustom"/>
        <w:spacing w:before="160" w:after="120" w:line="240" w:lineRule="auto"/>
        <w:pBdr>
          <w:bottom w:val="single" w:sz="6" w:space="1" w:color="D8DDE6"/>
        </w:pBdr>
      </w:pPr>
      <w:r>
        <w:t>Demand Generation Plan</w:t>
      </w:r>
    </w:p>
    <w:p>
      <w:pPr>
        <w:spacing w:before="0" w:after="120" w:line="276" w:lineRule="auto"/>
      </w:pPr>
      <w:r>
        <w:t>Clawsome should market the way it intends to work. The business should demonstrate its own automations in public and use them to drive demand. That makes the sales system itself a proof point.</w:t>
      </w:r>
    </w:p>
    <w:tbl>
      <w:tblPr>
        <w:tblW w:type="auto" w:w="0"/>
        <w:jc w:val="center"/>
        <w:tblLayout w:type="fixed"/>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3312"/>
        <w:gridCol w:w="3312"/>
        <w:gridCol w:w="3312"/>
      </w:tblGrid>
      <w:tr>
        <w:tc>
          <w:tcPr>
            <w:tcW w:type="dxa" w:w="1584"/>
            <w:shd w:fill="EAF1F8"/>
            <w:tcMar>
              <w:top w:w="90" w:type="dxa"/>
              <w:start w:w="90" w:type="dxa"/>
              <w:bottom w:w="90" w:type="dxa"/>
              <w:end w:w="90" w:type="dxa"/>
            </w:tcMar>
            <w:vAlign w:val="center"/>
          </w:tcPr>
          <w:p>
            <w:pPr>
              <w:jc w:val="left"/>
            </w:pPr>
            <w:r>
              <w:rPr>
                <w:rFonts w:ascii="Aptos" w:hAnsi="Aptos"/>
                <w:b/>
                <w:color w:val="0E1E36"/>
                <w:sz w:val="18"/>
              </w:rPr>
              <w:t>Channel</w:t>
            </w:r>
          </w:p>
        </w:tc>
        <w:tc>
          <w:tcPr>
            <w:tcW w:type="dxa" w:w="2592"/>
            <w:shd w:fill="EAF1F8"/>
            <w:tcMar>
              <w:top w:w="90" w:type="dxa"/>
              <w:start w:w="90" w:type="dxa"/>
              <w:bottom w:w="90" w:type="dxa"/>
              <w:end w:w="90" w:type="dxa"/>
            </w:tcMar>
            <w:vAlign w:val="center"/>
          </w:tcPr>
          <w:p>
            <w:pPr>
              <w:jc w:val="left"/>
            </w:pPr>
            <w:r>
              <w:rPr>
                <w:rFonts w:ascii="Aptos" w:hAnsi="Aptos"/>
                <w:b/>
                <w:color w:val="0E1E36"/>
                <w:sz w:val="18"/>
              </w:rPr>
              <w:t>Role</w:t>
            </w:r>
          </w:p>
        </w:tc>
        <w:tc>
          <w:tcPr>
            <w:tcW w:type="dxa" w:w="5760"/>
            <w:shd w:fill="EAF1F8"/>
            <w:tcMar>
              <w:top w:w="90" w:type="dxa"/>
              <w:start w:w="90" w:type="dxa"/>
              <w:bottom w:w="90" w:type="dxa"/>
              <w:end w:w="90" w:type="dxa"/>
            </w:tcMar>
            <w:vAlign w:val="center"/>
          </w:tcPr>
          <w:p>
            <w:pPr>
              <w:jc w:val="left"/>
            </w:pPr>
            <w:r>
              <w:rPr>
                <w:rFonts w:ascii="Aptos" w:hAnsi="Aptos"/>
                <w:b/>
                <w:color w:val="0E1E36"/>
                <w:sz w:val="18"/>
              </w:rPr>
              <w:t>What to push</w:t>
            </w:r>
          </w:p>
        </w:tc>
      </w:tr>
      <w:tr>
        <w:tc>
          <w:tcPr>
            <w:tcW w:type="dxa" w:w="1584"/>
            <w:tcMar>
              <w:top w:w="95" w:type="dxa"/>
              <w:start w:w="95" w:type="dxa"/>
              <w:bottom w:w="95" w:type="dxa"/>
              <w:end w:w="95" w:type="dxa"/>
            </w:tcMar>
            <w:vAlign w:val="center"/>
          </w:tcPr>
          <w:p>
            <w:pPr>
              <w:spacing w:before="0" w:after="0" w:line="259" w:lineRule="auto"/>
              <w:jc w:val="left"/>
            </w:pPr>
            <w:r>
              <w:rPr>
                <w:rFonts w:ascii="Aptos" w:hAnsi="Aptos"/>
                <w:color w:val="1F2937"/>
                <w:sz w:val="18"/>
              </w:rPr>
              <w:t>Meta</w:t>
            </w:r>
          </w:p>
        </w:tc>
        <w:tc>
          <w:tcPr>
            <w:tcW w:type="dxa" w:w="2592"/>
            <w:tcMar>
              <w:top w:w="95" w:type="dxa"/>
              <w:start w:w="95" w:type="dxa"/>
              <w:bottom w:w="95" w:type="dxa"/>
              <w:end w:w="95" w:type="dxa"/>
            </w:tcMar>
            <w:vAlign w:val="center"/>
          </w:tcPr>
          <w:p>
            <w:pPr>
              <w:spacing w:before="0" w:after="0" w:line="259" w:lineRule="auto"/>
              <w:jc w:val="left"/>
            </w:pPr>
            <w:r>
              <w:rPr>
                <w:rFonts w:ascii="Aptos" w:hAnsi="Aptos"/>
                <w:color w:val="1F2937"/>
                <w:sz w:val="18"/>
              </w:rPr>
              <w:t>Primary paid acquisition channel</w:t>
            </w:r>
          </w:p>
        </w:tc>
        <w:tc>
          <w:tcPr>
            <w:tcW w:type="dxa" w:w="5760"/>
            <w:tcMar>
              <w:top w:w="95" w:type="dxa"/>
              <w:start w:w="95" w:type="dxa"/>
              <w:bottom w:w="95" w:type="dxa"/>
              <w:end w:w="95" w:type="dxa"/>
            </w:tcMar>
            <w:vAlign w:val="center"/>
          </w:tcPr>
          <w:p>
            <w:pPr>
              <w:spacing w:before="0" w:after="0" w:line="259" w:lineRule="auto"/>
              <w:jc w:val="left"/>
            </w:pPr>
            <w:r>
              <w:rPr>
                <w:rFonts w:ascii="Aptos" w:hAnsi="Aptos"/>
                <w:color w:val="1F2937"/>
                <w:sz w:val="18"/>
              </w:rPr>
              <w:t>Quick-win examples, short demo clips, stop-typing angle, result-focused copy</w:t>
            </w:r>
          </w:p>
        </w:tc>
      </w:tr>
      <w:tr>
        <w:tc>
          <w:tcPr>
            <w:tcW w:type="dxa" w:w="1584"/>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LinkedIn</w:t>
            </w:r>
          </w:p>
        </w:tc>
        <w:tc>
          <w:tcPr>
            <w:tcW w:type="dxa" w:w="259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Credibility and thought leadership</w:t>
            </w:r>
          </w:p>
        </w:tc>
        <w:tc>
          <w:tcPr>
            <w:tcW w:type="dxa" w:w="576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Operational pain, AI adoption reality, before/after workflow thinking, safety stance</w:t>
            </w:r>
          </w:p>
        </w:tc>
      </w:tr>
      <w:tr>
        <w:tc>
          <w:tcPr>
            <w:tcW w:type="dxa" w:w="1584"/>
            <w:tcMar>
              <w:top w:w="95" w:type="dxa"/>
              <w:start w:w="95" w:type="dxa"/>
              <w:bottom w:w="95" w:type="dxa"/>
              <w:end w:w="95" w:type="dxa"/>
            </w:tcMar>
            <w:vAlign w:val="center"/>
          </w:tcPr>
          <w:p>
            <w:pPr>
              <w:spacing w:before="0" w:after="0" w:line="259" w:lineRule="auto"/>
              <w:jc w:val="left"/>
            </w:pPr>
            <w:r>
              <w:rPr>
                <w:rFonts w:ascii="Aptos" w:hAnsi="Aptos"/>
                <w:color w:val="1F2937"/>
                <w:sz w:val="18"/>
              </w:rPr>
              <w:t>Website demos</w:t>
            </w:r>
          </w:p>
        </w:tc>
        <w:tc>
          <w:tcPr>
            <w:tcW w:type="dxa" w:w="2592"/>
            <w:tcMar>
              <w:top w:w="95" w:type="dxa"/>
              <w:start w:w="95" w:type="dxa"/>
              <w:bottom w:w="95" w:type="dxa"/>
              <w:end w:w="95" w:type="dxa"/>
            </w:tcMar>
            <w:vAlign w:val="center"/>
          </w:tcPr>
          <w:p>
            <w:pPr>
              <w:spacing w:before="0" w:after="0" w:line="259" w:lineRule="auto"/>
              <w:jc w:val="left"/>
            </w:pPr>
            <w:r>
              <w:rPr>
                <w:rFonts w:ascii="Aptos" w:hAnsi="Aptos"/>
                <w:color w:val="1F2937"/>
                <w:sz w:val="18"/>
              </w:rPr>
              <w:t>Proof asset</w:t>
            </w:r>
          </w:p>
        </w:tc>
        <w:tc>
          <w:tcPr>
            <w:tcW w:type="dxa" w:w="5760"/>
            <w:tcMar>
              <w:top w:w="95" w:type="dxa"/>
              <w:start w:w="95" w:type="dxa"/>
              <w:bottom w:w="95" w:type="dxa"/>
              <w:end w:w="95" w:type="dxa"/>
            </w:tcMar>
            <w:vAlign w:val="center"/>
          </w:tcPr>
          <w:p>
            <w:pPr>
              <w:spacing w:before="0" w:after="0" w:line="259" w:lineRule="auto"/>
              <w:jc w:val="left"/>
            </w:pPr>
            <w:r>
              <w:rPr>
                <w:rFonts w:ascii="Aptos" w:hAnsi="Aptos"/>
                <w:color w:val="1F2937"/>
                <w:sz w:val="18"/>
              </w:rPr>
              <w:t>Screen recordings of simple, bounded automations running cleanly</w:t>
            </w:r>
          </w:p>
        </w:tc>
      </w:tr>
      <w:tr>
        <w:tc>
          <w:tcPr>
            <w:tcW w:type="dxa" w:w="1584"/>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Email follow-up</w:t>
            </w:r>
          </w:p>
        </w:tc>
        <w:tc>
          <w:tcPr>
            <w:tcW w:type="dxa" w:w="259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Conversion support</w:t>
            </w:r>
          </w:p>
        </w:tc>
        <w:tc>
          <w:tcPr>
            <w:tcW w:type="dxa" w:w="576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Fast, tailored replies and ROI sketches after inbound interest</w:t>
            </w:r>
          </w:p>
        </w:tc>
      </w:tr>
    </w:tbl>
    <w:p/>
    <w:p>
      <w:pPr>
        <w:pStyle w:val="SubsectionCustom"/>
        <w:spacing w:before="80" w:after="80" w:line="240" w:lineRule="auto"/>
      </w:pPr>
      <w:r>
        <w:t>Creative angles to test</w:t>
      </w:r>
    </w:p>
    <w:p>
      <w:pPr>
        <w:pStyle w:val="BulletCustom"/>
        <w:spacing w:before="0" w:after="50" w:line="264" w:lineRule="auto"/>
      </w:pPr>
      <w:r>
        <w:t>Agents work now: direct, blunt proof that the technology is already commercially usable.</w:t>
      </w:r>
    </w:p>
    <w:p>
      <w:pPr>
        <w:pStyle w:val="BulletCustom"/>
        <w:spacing w:before="0" w:after="50" w:line="264" w:lineRule="auto"/>
      </w:pPr>
      <w:r>
        <w:t>Stop typing: contrast manual repetitive work with a fast automated flow.</w:t>
      </w:r>
    </w:p>
    <w:p>
      <w:pPr>
        <w:pStyle w:val="BulletCustom"/>
        <w:spacing w:before="0" w:after="50" w:line="264" w:lineRule="auto"/>
      </w:pPr>
      <w:r>
        <w:t>Recover the leak: frame lead response and invoice chasing as lost money problems, not admin problems.</w:t>
      </w:r>
    </w:p>
    <w:p>
      <w:pPr>
        <w:pStyle w:val="BulletCustom"/>
        <w:spacing w:before="0" w:after="50" w:line="264" w:lineRule="auto"/>
      </w:pPr>
      <w:r>
        <w:t>Start your journey: position the first agent as a sensible beginning, not a risky leap.</w:t>
      </w:r>
    </w:p>
    <w:p>
      <w:pPr>
        <w:pStyle w:val="SectionCustom"/>
        <w:spacing w:before="160" w:after="120" w:line="240" w:lineRule="auto"/>
        <w:pBdr>
          <w:bottom w:val="single" w:sz="6" w:space="1" w:color="D8DDE6"/>
        </w:pBdr>
      </w:pPr>
      <w:r>
        <w:t>Delivery Model and Trust Architecture</w:t>
      </w:r>
    </w:p>
    <w:p>
      <w:pPr>
        <w:spacing w:before="0" w:after="120" w:line="276" w:lineRule="auto"/>
      </w:pPr>
      <w:r>
        <w:t>Because OpenClaw is powerful, Clawsome must sound and operate like a responsible deployment partner, not a reckless tinkerer. The promise is not unrestricted automation. The promise is practical automation under control.</w:t>
      </w:r>
    </w:p>
    <w:tbl>
      <w:tblPr>
        <w:tblW w:type="auto" w:w="0"/>
        <w:jc w:val="center"/>
        <w:tblLayout w:type="fixed"/>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4968"/>
        <w:gridCol w:w="4968"/>
      </w:tblGrid>
      <w:tr>
        <w:tc>
          <w:tcPr>
            <w:tcW w:type="dxa" w:w="2448"/>
            <w:shd w:fill="EAF1F8"/>
            <w:tcMar>
              <w:top w:w="90" w:type="dxa"/>
              <w:start w:w="90" w:type="dxa"/>
              <w:bottom w:w="90" w:type="dxa"/>
              <w:end w:w="90" w:type="dxa"/>
            </w:tcMar>
            <w:vAlign w:val="center"/>
          </w:tcPr>
          <w:p>
            <w:pPr>
              <w:jc w:val="left"/>
            </w:pPr>
            <w:r>
              <w:rPr>
                <w:rFonts w:ascii="Aptos" w:hAnsi="Aptos"/>
                <w:b/>
                <w:color w:val="0E1E36"/>
                <w:sz w:val="18"/>
              </w:rPr>
              <w:t>Trust principle</w:t>
            </w:r>
          </w:p>
        </w:tc>
        <w:tc>
          <w:tcPr>
            <w:tcW w:type="dxa" w:w="6912"/>
            <w:shd w:fill="EAF1F8"/>
            <w:tcMar>
              <w:top w:w="90" w:type="dxa"/>
              <w:start w:w="90" w:type="dxa"/>
              <w:bottom w:w="90" w:type="dxa"/>
              <w:end w:w="90" w:type="dxa"/>
            </w:tcMar>
            <w:vAlign w:val="center"/>
          </w:tcPr>
          <w:p>
            <w:pPr>
              <w:jc w:val="left"/>
            </w:pPr>
            <w:r>
              <w:rPr>
                <w:rFonts w:ascii="Aptos" w:hAnsi="Aptos"/>
                <w:b/>
                <w:color w:val="0E1E36"/>
                <w:sz w:val="18"/>
              </w:rPr>
              <w:t>What it means in practice</w:t>
            </w:r>
          </w:p>
        </w:tc>
      </w:tr>
      <w:tr>
        <w:tc>
          <w:tcPr>
            <w:tcW w:type="dxa" w:w="2448"/>
            <w:tcMar>
              <w:top w:w="95" w:type="dxa"/>
              <w:start w:w="95" w:type="dxa"/>
              <w:bottom w:w="95" w:type="dxa"/>
              <w:end w:w="95" w:type="dxa"/>
            </w:tcMar>
            <w:vAlign w:val="center"/>
          </w:tcPr>
          <w:p>
            <w:pPr>
              <w:spacing w:before="0" w:after="0" w:line="259" w:lineRule="auto"/>
              <w:jc w:val="left"/>
            </w:pPr>
            <w:r>
              <w:rPr>
                <w:rFonts w:ascii="Aptos" w:hAnsi="Aptos"/>
                <w:color w:val="1F2937"/>
                <w:sz w:val="18"/>
              </w:rPr>
              <w:t>Isolation first</w:t>
            </w:r>
          </w:p>
        </w:tc>
        <w:tc>
          <w:tcPr>
            <w:tcW w:type="dxa" w:w="6912"/>
            <w:tcMar>
              <w:top w:w="95" w:type="dxa"/>
              <w:start w:w="95" w:type="dxa"/>
              <w:bottom w:w="95" w:type="dxa"/>
              <w:end w:w="95" w:type="dxa"/>
            </w:tcMar>
            <w:vAlign w:val="center"/>
          </w:tcPr>
          <w:p>
            <w:pPr>
              <w:spacing w:before="0" w:after="0" w:line="259" w:lineRule="auto"/>
              <w:jc w:val="left"/>
            </w:pPr>
            <w:r>
              <w:rPr>
                <w:rFonts w:ascii="Aptos" w:hAnsi="Aptos"/>
                <w:color w:val="1F2937"/>
                <w:sz w:val="18"/>
              </w:rPr>
              <w:t>Deploy on isolated VPS or containerised environments, not casually on core client machines</w:t>
            </w:r>
          </w:p>
        </w:tc>
      </w:tr>
      <w:tr>
        <w:tc>
          <w:tcPr>
            <w:tcW w:type="dxa" w:w="244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Least privilege</w:t>
            </w:r>
          </w:p>
        </w:tc>
        <w:tc>
          <w:tcPr>
            <w:tcW w:type="dxa" w:w="691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Grant the minimum necessary access for each workflow and each integration</w:t>
            </w:r>
          </w:p>
        </w:tc>
      </w:tr>
      <w:tr>
        <w:tc>
          <w:tcPr>
            <w:tcW w:type="dxa" w:w="2448"/>
            <w:tcMar>
              <w:top w:w="95" w:type="dxa"/>
              <w:start w:w="95" w:type="dxa"/>
              <w:bottom w:w="95" w:type="dxa"/>
              <w:end w:w="95" w:type="dxa"/>
            </w:tcMar>
            <w:vAlign w:val="center"/>
          </w:tcPr>
          <w:p>
            <w:pPr>
              <w:spacing w:before="0" w:after="0" w:line="259" w:lineRule="auto"/>
              <w:jc w:val="left"/>
            </w:pPr>
            <w:r>
              <w:rPr>
                <w:rFonts w:ascii="Aptos" w:hAnsi="Aptos"/>
                <w:color w:val="1F2937"/>
                <w:sz w:val="18"/>
              </w:rPr>
              <w:t>Approval where it matters</w:t>
            </w:r>
          </w:p>
        </w:tc>
        <w:tc>
          <w:tcPr>
            <w:tcW w:type="dxa" w:w="6912"/>
            <w:tcMar>
              <w:top w:w="95" w:type="dxa"/>
              <w:start w:w="95" w:type="dxa"/>
              <w:bottom w:w="95" w:type="dxa"/>
              <w:end w:w="95" w:type="dxa"/>
            </w:tcMar>
            <w:vAlign w:val="center"/>
          </w:tcPr>
          <w:p>
            <w:pPr>
              <w:spacing w:before="0" w:after="0" w:line="259" w:lineRule="auto"/>
              <w:jc w:val="left"/>
            </w:pPr>
            <w:r>
              <w:rPr>
                <w:rFonts w:ascii="Aptos" w:hAnsi="Aptos"/>
                <w:color w:val="1F2937"/>
                <w:sz w:val="18"/>
              </w:rPr>
              <w:t>Financial, legal, or sensitive actions stay human-approved</w:t>
            </w:r>
          </w:p>
        </w:tc>
      </w:tr>
      <w:tr>
        <w:tc>
          <w:tcPr>
            <w:tcW w:type="dxa" w:w="244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Auditability</w:t>
            </w:r>
          </w:p>
        </w:tc>
        <w:tc>
          <w:tcPr>
            <w:tcW w:type="dxa" w:w="6912"/>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Keep logs and visible workflow traces where commercially sensible</w:t>
            </w:r>
          </w:p>
        </w:tc>
      </w:tr>
      <w:tr>
        <w:tc>
          <w:tcPr>
            <w:tcW w:type="dxa" w:w="2448"/>
            <w:tcMar>
              <w:top w:w="95" w:type="dxa"/>
              <w:start w:w="95" w:type="dxa"/>
              <w:bottom w:w="95" w:type="dxa"/>
              <w:end w:w="95" w:type="dxa"/>
            </w:tcMar>
            <w:vAlign w:val="center"/>
          </w:tcPr>
          <w:p>
            <w:pPr>
              <w:spacing w:before="0" w:after="0" w:line="259" w:lineRule="auto"/>
              <w:jc w:val="left"/>
            </w:pPr>
            <w:r>
              <w:rPr>
                <w:rFonts w:ascii="Aptos" w:hAnsi="Aptos"/>
                <w:color w:val="1F2937"/>
                <w:sz w:val="18"/>
              </w:rPr>
              <w:t>Scope discipline</w:t>
            </w:r>
          </w:p>
        </w:tc>
        <w:tc>
          <w:tcPr>
            <w:tcW w:type="dxa" w:w="6912"/>
            <w:tcMar>
              <w:top w:w="95" w:type="dxa"/>
              <w:start w:w="95" w:type="dxa"/>
              <w:bottom w:w="95" w:type="dxa"/>
              <w:end w:w="95" w:type="dxa"/>
            </w:tcMar>
            <w:vAlign w:val="center"/>
          </w:tcPr>
          <w:p>
            <w:pPr>
              <w:spacing w:before="0" w:after="0" w:line="259" w:lineRule="auto"/>
              <w:jc w:val="left"/>
            </w:pPr>
            <w:r>
              <w:rPr>
                <w:rFonts w:ascii="Aptos" w:hAnsi="Aptos"/>
                <w:color w:val="1F2937"/>
                <w:sz w:val="18"/>
              </w:rPr>
              <w:t>Start with bounded tasks rather than broad unsupervised mandates</w:t>
            </w:r>
          </w:p>
        </w:tc>
      </w:tr>
      <w:tr>
        <w:tc>
          <w:tcPr>
            <w:tcW w:type="dxa" w:w="244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Clear handover</w:t>
            </w:r>
          </w:p>
        </w:tc>
        <w:tc>
          <w:tcPr>
            <w:tcW w:type="dxa" w:w="6912"/>
            <w:tcMar>
              <w:top w:w="95" w:type="dxa"/>
              <w:start w:w="95" w:type="dxa"/>
              <w:bottom w:w="95" w:type="dxa"/>
              <w:end w:w="95" w:type="dxa"/>
            </w:tcMar>
            <w:vAlign w:val="center"/>
            <w:shd w:fill="F8FAFC"/>
          </w:tcPr>
          <w:p>
            <w:r>
              <w:t>Train a nominated client operator on what the agent does, what it does not do, how to supervise it, and how to intervene</w:t>
            </w:r>
          </w:p>
        </w:tc>
      </w:tr>
    </w:tbl>
    <w:p/>
    <w:p>
      <w:pPr>
        <w:spacing w:before="0" w:after="120" w:line="276" w:lineRule="auto"/>
      </w:pPr>
      <w:r>
        <w:t>This trust architecture is not only an operational necessity. It is also a sales asset. SMEs will buy sooner if the delivery model sounds adult, controlled, clearly governed, and easy for a client operator to supervise after handover.</w:t>
      </w:r>
    </w:p>
    <w:p>
      <w:pPr>
        <w:pStyle w:val="SectionCustom"/>
        <w:spacing w:before="160" w:after="120" w:line="240" w:lineRule="auto"/>
        <w:pBdr>
          <w:bottom w:val="single" w:sz="6" w:space="1" w:color="D8DDE6"/>
        </w:pBdr>
      </w:pPr>
      <w:r>
        <w:t>Business Model and Growth Path</w:t>
      </w:r>
    </w:p>
    <w:p>
      <w:pPr>
        <w:spacing w:before="0" w:after="120" w:line="276" w:lineRule="auto"/>
      </w:pPr>
      <w:r>
        <w:t>The long-term path should be explicit. Clawsome wins the first engagement with a bounded agent, then expands into broader systems, packs, and managed operations.</w:t>
      </w:r>
    </w:p>
    <w:tbl>
      <w:tblPr>
        <w:tblW w:type="auto" w:w="0"/>
        <w:jc w:val="center"/>
        <w:tblLayout w:type="fixed"/>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2484"/>
        <w:gridCol w:w="2484"/>
        <w:gridCol w:w="2484"/>
        <w:gridCol w:w="2484"/>
      </w:tblGrid>
      <w:tr>
        <w:tc>
          <w:tcPr>
            <w:tcW w:type="dxa" w:w="1296"/>
            <w:shd w:fill="EAF1F8"/>
            <w:tcMar>
              <w:top w:w="90" w:type="dxa"/>
              <w:start w:w="90" w:type="dxa"/>
              <w:bottom w:w="90" w:type="dxa"/>
              <w:end w:w="90" w:type="dxa"/>
            </w:tcMar>
            <w:vAlign w:val="center"/>
          </w:tcPr>
          <w:p>
            <w:pPr>
              <w:jc w:val="left"/>
            </w:pPr>
            <w:r>
              <w:rPr>
                <w:rFonts w:ascii="Aptos" w:hAnsi="Aptos"/>
                <w:b/>
                <w:color w:val="0E1E36"/>
                <w:sz w:val="18"/>
              </w:rPr>
              <w:t>Phase</w:t>
            </w:r>
          </w:p>
        </w:tc>
        <w:tc>
          <w:tcPr>
            <w:tcW w:type="dxa" w:w="1728"/>
            <w:shd w:fill="EAF1F8"/>
            <w:tcMar>
              <w:top w:w="90" w:type="dxa"/>
              <w:start w:w="90" w:type="dxa"/>
              <w:bottom w:w="90" w:type="dxa"/>
              <w:end w:w="90" w:type="dxa"/>
            </w:tcMar>
            <w:vAlign w:val="center"/>
          </w:tcPr>
          <w:p>
            <w:pPr>
              <w:jc w:val="left"/>
            </w:pPr>
            <w:r>
              <w:rPr>
                <w:rFonts w:ascii="Aptos" w:hAnsi="Aptos"/>
                <w:b/>
                <w:color w:val="0E1E36"/>
                <w:sz w:val="18"/>
              </w:rPr>
              <w:t>Time horizon</w:t>
            </w:r>
          </w:p>
        </w:tc>
        <w:tc>
          <w:tcPr>
            <w:tcW w:type="dxa" w:w="2880"/>
            <w:shd w:fill="EAF1F8"/>
            <w:tcMar>
              <w:top w:w="90" w:type="dxa"/>
              <w:start w:w="90" w:type="dxa"/>
              <w:bottom w:w="90" w:type="dxa"/>
              <w:end w:w="90" w:type="dxa"/>
            </w:tcMar>
            <w:vAlign w:val="center"/>
          </w:tcPr>
          <w:p>
            <w:pPr>
              <w:jc w:val="left"/>
            </w:pPr>
            <w:r>
              <w:rPr>
                <w:rFonts w:ascii="Aptos" w:hAnsi="Aptos"/>
                <w:b/>
                <w:color w:val="0E1E36"/>
                <w:sz w:val="18"/>
              </w:rPr>
              <w:t>Commercial model</w:t>
            </w:r>
          </w:p>
        </w:tc>
        <w:tc>
          <w:tcPr>
            <w:tcW w:type="dxa" w:w="4464"/>
            <w:shd w:fill="EAF1F8"/>
            <w:tcMar>
              <w:top w:w="90" w:type="dxa"/>
              <w:start w:w="90" w:type="dxa"/>
              <w:bottom w:w="90" w:type="dxa"/>
              <w:end w:w="90" w:type="dxa"/>
            </w:tcMar>
            <w:vAlign w:val="center"/>
          </w:tcPr>
          <w:p>
            <w:pPr>
              <w:jc w:val="left"/>
            </w:pPr>
            <w:r>
              <w:rPr>
                <w:rFonts w:ascii="Aptos" w:hAnsi="Aptos"/>
                <w:b/>
                <w:color w:val="0E1E36"/>
                <w:sz w:val="18"/>
              </w:rPr>
              <w:t>What Clawsome is learning</w:t>
            </w:r>
          </w:p>
        </w:tc>
      </w:tr>
      <w:tr>
        <w:tc>
          <w:tcPr>
            <w:tcW w:type="dxa" w:w="1296"/>
            <w:tcMar>
              <w:top w:w="95" w:type="dxa"/>
              <w:start w:w="95" w:type="dxa"/>
              <w:bottom w:w="95" w:type="dxa"/>
              <w:end w:w="95" w:type="dxa"/>
            </w:tcMar>
            <w:vAlign w:val="center"/>
          </w:tcPr>
          <w:p>
            <w:pPr>
              <w:spacing w:before="0" w:after="0" w:line="259" w:lineRule="auto"/>
              <w:jc w:val="left"/>
            </w:pPr>
            <w:r>
              <w:rPr>
                <w:rFonts w:ascii="Aptos" w:hAnsi="Aptos"/>
                <w:color w:val="1F2937"/>
                <w:sz w:val="18"/>
              </w:rPr>
              <w:t>Phase 1</w:t>
            </w:r>
          </w:p>
        </w:tc>
        <w:tc>
          <w:tcPr>
            <w:tcW w:type="dxa" w:w="1728"/>
            <w:tcMar>
              <w:top w:w="95" w:type="dxa"/>
              <w:start w:w="95" w:type="dxa"/>
              <w:bottom w:w="95" w:type="dxa"/>
              <w:end w:w="95" w:type="dxa"/>
            </w:tcMar>
            <w:vAlign w:val="center"/>
          </w:tcPr>
          <w:p>
            <w:pPr>
              <w:spacing w:before="0" w:after="0" w:line="259" w:lineRule="auto"/>
              <w:jc w:val="left"/>
            </w:pPr>
            <w:r>
              <w:rPr>
                <w:rFonts w:ascii="Aptos" w:hAnsi="Aptos"/>
                <w:color w:val="1F2937"/>
                <w:sz w:val="18"/>
              </w:rPr>
              <w:t>0 to 12 months</w:t>
            </w:r>
          </w:p>
        </w:tc>
        <w:tc>
          <w:tcPr>
            <w:tcW w:type="dxa" w:w="2880"/>
            <w:tcMar>
              <w:top w:w="95" w:type="dxa"/>
              <w:start w:w="95" w:type="dxa"/>
              <w:bottom w:w="95" w:type="dxa"/>
              <w:end w:w="95" w:type="dxa"/>
            </w:tcMar>
            <w:vAlign w:val="center"/>
          </w:tcPr>
          <w:p>
            <w:pPr>
              <w:spacing w:before="0" w:after="0" w:line="259" w:lineRule="auto"/>
              <w:jc w:val="left"/>
            </w:pPr>
            <w:r>
              <w:rPr>
                <w:rFonts w:ascii="Aptos" w:hAnsi="Aptos"/>
                <w:color w:val="1F2937"/>
                <w:sz w:val="18"/>
              </w:rPr>
              <w:t>Quick-win builds plus light recurring care</w:t>
            </w:r>
          </w:p>
        </w:tc>
        <w:tc>
          <w:tcPr>
            <w:tcW w:type="dxa" w:w="4464"/>
            <w:tcMar>
              <w:top w:w="95" w:type="dxa"/>
              <w:start w:w="95" w:type="dxa"/>
              <w:bottom w:w="95" w:type="dxa"/>
              <w:end w:w="95" w:type="dxa"/>
            </w:tcMar>
            <w:vAlign w:val="center"/>
          </w:tcPr>
          <w:p>
            <w:pPr>
              <w:spacing w:before="0" w:after="0" w:line="259" w:lineRule="auto"/>
              <w:jc w:val="left"/>
            </w:pPr>
            <w:r>
              <w:rPr>
                <w:rFonts w:ascii="Aptos" w:hAnsi="Aptos"/>
                <w:color w:val="1F2937"/>
                <w:sz w:val="18"/>
              </w:rPr>
              <w:t>Which use cases repeat, which sectors buy fastest, what proof converts best</w:t>
            </w:r>
          </w:p>
        </w:tc>
      </w:tr>
      <w:tr>
        <w:tc>
          <w:tcPr>
            <w:tcW w:type="dxa" w:w="1296"/>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Phase 2</w:t>
            </w:r>
          </w:p>
        </w:tc>
        <w:tc>
          <w:tcPr>
            <w:tcW w:type="dxa" w:w="172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12 to 24 months</w:t>
            </w:r>
          </w:p>
        </w:tc>
        <w:tc>
          <w:tcPr>
            <w:tcW w:type="dxa" w:w="288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Productised packs by vertical or workflow</w:t>
            </w:r>
          </w:p>
        </w:tc>
        <w:tc>
          <w:tcPr>
            <w:tcW w:type="dxa" w:w="4464"/>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How to compress delivery time and improve margins</w:t>
            </w:r>
          </w:p>
        </w:tc>
      </w:tr>
      <w:tr>
        <w:tc>
          <w:tcPr>
            <w:tcW w:type="dxa" w:w="1296"/>
            <w:tcMar>
              <w:top w:w="95" w:type="dxa"/>
              <w:start w:w="95" w:type="dxa"/>
              <w:bottom w:w="95" w:type="dxa"/>
              <w:end w:w="95" w:type="dxa"/>
            </w:tcMar>
            <w:vAlign w:val="center"/>
          </w:tcPr>
          <w:p>
            <w:pPr>
              <w:spacing w:before="0" w:after="0" w:line="259" w:lineRule="auto"/>
              <w:jc w:val="left"/>
            </w:pPr>
            <w:r>
              <w:rPr>
                <w:rFonts w:ascii="Aptos" w:hAnsi="Aptos"/>
                <w:color w:val="1F2937"/>
                <w:sz w:val="18"/>
              </w:rPr>
              <w:t>Phase 3</w:t>
            </w:r>
          </w:p>
        </w:tc>
        <w:tc>
          <w:tcPr>
            <w:tcW w:type="dxa" w:w="1728"/>
            <w:tcMar>
              <w:top w:w="95" w:type="dxa"/>
              <w:start w:w="95" w:type="dxa"/>
              <w:bottom w:w="95" w:type="dxa"/>
              <w:end w:w="95" w:type="dxa"/>
            </w:tcMar>
            <w:vAlign w:val="center"/>
          </w:tcPr>
          <w:p>
            <w:pPr>
              <w:spacing w:before="0" w:after="0" w:line="259" w:lineRule="auto"/>
              <w:jc w:val="left"/>
            </w:pPr>
            <w:r>
              <w:rPr>
                <w:rFonts w:ascii="Aptos" w:hAnsi="Aptos"/>
                <w:color w:val="1F2937"/>
                <w:sz w:val="18"/>
              </w:rPr>
              <w:t>24 months and beyond</w:t>
            </w:r>
          </w:p>
        </w:tc>
        <w:tc>
          <w:tcPr>
            <w:tcW w:type="dxa" w:w="2880"/>
            <w:tcMar>
              <w:top w:w="95" w:type="dxa"/>
              <w:start w:w="95" w:type="dxa"/>
              <w:bottom w:w="95" w:type="dxa"/>
              <w:end w:w="95" w:type="dxa"/>
            </w:tcMar>
            <w:vAlign w:val="center"/>
          </w:tcPr>
          <w:p>
            <w:pPr>
              <w:spacing w:before="0" w:after="0" w:line="259" w:lineRule="auto"/>
              <w:jc w:val="left"/>
            </w:pPr>
            <w:r>
              <w:rPr>
                <w:rFonts w:ascii="Aptos" w:hAnsi="Aptos"/>
                <w:color w:val="1F2937"/>
                <w:sz w:val="18"/>
              </w:rPr>
              <w:t>Managed agent operations and more standardised recurring revenue</w:t>
            </w:r>
          </w:p>
        </w:tc>
        <w:tc>
          <w:tcPr>
            <w:tcW w:type="dxa" w:w="4464"/>
            <w:tcMar>
              <w:top w:w="95" w:type="dxa"/>
              <w:start w:w="95" w:type="dxa"/>
              <w:bottom w:w="95" w:type="dxa"/>
              <w:end w:w="95" w:type="dxa"/>
            </w:tcMar>
            <w:vAlign w:val="center"/>
          </w:tcPr>
          <w:p>
            <w:pPr>
              <w:spacing w:before="0" w:after="0" w:line="259" w:lineRule="auto"/>
              <w:jc w:val="left"/>
            </w:pPr>
            <w:r>
              <w:rPr>
                <w:rFonts w:ascii="Aptos" w:hAnsi="Aptos"/>
                <w:color w:val="1F2937"/>
                <w:sz w:val="18"/>
              </w:rPr>
              <w:t>Which parts can become a true managed platform or service layer</w:t>
            </w:r>
          </w:p>
        </w:tc>
      </w:tr>
    </w:tbl>
    <w:p/>
    <w:p>
      <w:pPr>
        <w:spacing w:before="0" w:after="120" w:line="276" w:lineRule="auto"/>
      </w:pPr>
      <w:r>
        <w:t>The crucial discipline is to codify repeated wins. If the same Meta Ads workflow, lead response flow, or admin-recovery pattern keeps selling, Clawsome should turn it into a named pack with tighter delivery time and clearer pricing.</w:t>
      </w:r>
    </w:p>
    <w:p>
      <w:pPr>
        <w:pStyle w:val="SectionCustom"/>
        <w:spacing w:before="160" w:after="120" w:line="240" w:lineRule="auto"/>
        <w:pBdr>
          <w:bottom w:val="single" w:sz="6" w:space="1" w:color="D8DDE6"/>
        </w:pBdr>
      </w:pPr>
      <w:r>
        <w:t>Recommended 90-Day Launch Plan</w:t>
      </w:r>
    </w:p>
    <w:tbl>
      <w:tblPr>
        <w:tblW w:type="auto" w:w="0"/>
        <w:jc w:val="center"/>
        <w:tblLayout w:type="fixed"/>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3312"/>
        <w:gridCol w:w="3312"/>
        <w:gridCol w:w="3312"/>
      </w:tblGrid>
      <w:tr>
        <w:tc>
          <w:tcPr>
            <w:tcW w:type="dxa" w:w="1584"/>
            <w:shd w:fill="EAF1F8"/>
            <w:tcMar>
              <w:top w:w="90" w:type="dxa"/>
              <w:start w:w="90" w:type="dxa"/>
              <w:bottom w:w="90" w:type="dxa"/>
              <w:end w:w="90" w:type="dxa"/>
            </w:tcMar>
            <w:vAlign w:val="center"/>
          </w:tcPr>
          <w:p>
            <w:pPr>
              <w:jc w:val="left"/>
            </w:pPr>
            <w:r>
              <w:rPr>
                <w:rFonts w:ascii="Aptos" w:hAnsi="Aptos"/>
                <w:b/>
                <w:color w:val="0E1E36"/>
                <w:sz w:val="18"/>
              </w:rPr>
              <w:t>Window</w:t>
            </w:r>
          </w:p>
        </w:tc>
        <w:tc>
          <w:tcPr>
            <w:tcW w:type="dxa" w:w="2304"/>
            <w:shd w:fill="EAF1F8"/>
            <w:tcMar>
              <w:top w:w="90" w:type="dxa"/>
              <w:start w:w="90" w:type="dxa"/>
              <w:bottom w:w="90" w:type="dxa"/>
              <w:end w:w="90" w:type="dxa"/>
            </w:tcMar>
            <w:vAlign w:val="center"/>
          </w:tcPr>
          <w:p>
            <w:pPr>
              <w:jc w:val="left"/>
            </w:pPr>
            <w:r>
              <w:rPr>
                <w:rFonts w:ascii="Aptos" w:hAnsi="Aptos"/>
                <w:b/>
                <w:color w:val="0E1E36"/>
                <w:sz w:val="18"/>
              </w:rPr>
              <w:t>Priority</w:t>
            </w:r>
          </w:p>
        </w:tc>
        <w:tc>
          <w:tcPr>
            <w:tcW w:type="dxa" w:w="6480"/>
            <w:shd w:fill="EAF1F8"/>
            <w:tcMar>
              <w:top w:w="90" w:type="dxa"/>
              <w:start w:w="90" w:type="dxa"/>
              <w:bottom w:w="90" w:type="dxa"/>
              <w:end w:w="90" w:type="dxa"/>
            </w:tcMar>
            <w:vAlign w:val="center"/>
          </w:tcPr>
          <w:p>
            <w:pPr>
              <w:jc w:val="left"/>
            </w:pPr>
            <w:r>
              <w:rPr>
                <w:rFonts w:ascii="Aptos" w:hAnsi="Aptos"/>
                <w:b/>
                <w:color w:val="0E1E36"/>
                <w:sz w:val="18"/>
              </w:rPr>
              <w:t>Output</w:t>
            </w:r>
          </w:p>
        </w:tc>
      </w:tr>
      <w:tr>
        <w:tc>
          <w:tcPr>
            <w:tcW w:type="dxa" w:w="1584"/>
            <w:tcMar>
              <w:top w:w="95" w:type="dxa"/>
              <w:start w:w="95" w:type="dxa"/>
              <w:bottom w:w="95" w:type="dxa"/>
              <w:end w:w="95" w:type="dxa"/>
            </w:tcMar>
            <w:vAlign w:val="center"/>
          </w:tcPr>
          <w:p>
            <w:pPr>
              <w:spacing w:before="0" w:after="0" w:line="259" w:lineRule="auto"/>
              <w:jc w:val="left"/>
            </w:pPr>
            <w:r>
              <w:rPr>
                <w:rFonts w:ascii="Aptos" w:hAnsi="Aptos"/>
                <w:color w:val="1F2937"/>
                <w:sz w:val="18"/>
              </w:rPr>
              <w:t>Days 1 to 15</w:t>
            </w:r>
          </w:p>
        </w:tc>
        <w:tc>
          <w:tcPr>
            <w:tcW w:type="dxa" w:w="2304"/>
            <w:tcMar>
              <w:top w:w="95" w:type="dxa"/>
              <w:start w:w="95" w:type="dxa"/>
              <w:bottom w:w="95" w:type="dxa"/>
              <w:end w:w="95" w:type="dxa"/>
            </w:tcMar>
            <w:vAlign w:val="center"/>
          </w:tcPr>
          <w:p>
            <w:pPr>
              <w:spacing w:before="0" w:after="0" w:line="259" w:lineRule="auto"/>
              <w:jc w:val="left"/>
            </w:pPr>
            <w:r>
              <w:rPr>
                <w:rFonts w:ascii="Aptos" w:hAnsi="Aptos"/>
                <w:color w:val="1F2937"/>
                <w:sz w:val="18"/>
              </w:rPr>
              <w:t>Tighten the offer</w:t>
            </w:r>
          </w:p>
        </w:tc>
        <w:tc>
          <w:tcPr>
            <w:tcW w:type="dxa" w:w="6480"/>
            <w:tcMar>
              <w:top w:w="95" w:type="dxa"/>
              <w:start w:w="95" w:type="dxa"/>
              <w:bottom w:w="95" w:type="dxa"/>
              <w:end w:w="95" w:type="dxa"/>
            </w:tcMar>
            <w:vAlign w:val="center"/>
          </w:tcPr>
          <w:p>
            <w:pPr>
              <w:spacing w:before="0" w:after="0" w:line="259" w:lineRule="auto"/>
              <w:jc w:val="left"/>
            </w:pPr>
            <w:r>
              <w:rPr>
                <w:rFonts w:ascii="Aptos" w:hAnsi="Aptos"/>
                <w:color w:val="1F2937"/>
                <w:sz w:val="18"/>
              </w:rPr>
              <w:t>Lock the three lead use cases, pricing ladder, and website narrative</w:t>
            </w:r>
          </w:p>
        </w:tc>
      </w:tr>
      <w:tr>
        <w:tc>
          <w:tcPr>
            <w:tcW w:type="dxa" w:w="1584"/>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Days 16 to 30</w:t>
            </w:r>
          </w:p>
        </w:tc>
        <w:tc>
          <w:tcPr>
            <w:tcW w:type="dxa" w:w="2304"/>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Build proof assets</w:t>
            </w:r>
          </w:p>
        </w:tc>
        <w:tc>
          <w:tcPr>
            <w:tcW w:type="dxa" w:w="648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Record short demos, create simple before/after stories, draft ROI language</w:t>
            </w:r>
          </w:p>
        </w:tc>
      </w:tr>
      <w:tr>
        <w:tc>
          <w:tcPr>
            <w:tcW w:type="dxa" w:w="1584"/>
            <w:tcMar>
              <w:top w:w="95" w:type="dxa"/>
              <w:start w:w="95" w:type="dxa"/>
              <w:bottom w:w="95" w:type="dxa"/>
              <w:end w:w="95" w:type="dxa"/>
            </w:tcMar>
            <w:vAlign w:val="center"/>
          </w:tcPr>
          <w:p>
            <w:pPr>
              <w:spacing w:before="0" w:after="0" w:line="259" w:lineRule="auto"/>
              <w:jc w:val="left"/>
            </w:pPr>
            <w:r>
              <w:rPr>
                <w:rFonts w:ascii="Aptos" w:hAnsi="Aptos"/>
                <w:color w:val="1F2937"/>
                <w:sz w:val="18"/>
              </w:rPr>
              <w:t>Days 31 to 45</w:t>
            </w:r>
          </w:p>
        </w:tc>
        <w:tc>
          <w:tcPr>
            <w:tcW w:type="dxa" w:w="2304"/>
            <w:tcMar>
              <w:top w:w="95" w:type="dxa"/>
              <w:start w:w="95" w:type="dxa"/>
              <w:bottom w:w="95" w:type="dxa"/>
              <w:end w:w="95" w:type="dxa"/>
            </w:tcMar>
            <w:vAlign w:val="center"/>
          </w:tcPr>
          <w:p>
            <w:pPr>
              <w:spacing w:before="0" w:after="0" w:line="259" w:lineRule="auto"/>
              <w:jc w:val="left"/>
            </w:pPr>
            <w:r>
              <w:rPr>
                <w:rFonts w:ascii="Aptos" w:hAnsi="Aptos"/>
                <w:color w:val="1F2937"/>
                <w:sz w:val="18"/>
              </w:rPr>
              <w:t>Launch the website</w:t>
            </w:r>
          </w:p>
        </w:tc>
        <w:tc>
          <w:tcPr>
            <w:tcW w:type="dxa" w:w="6480"/>
            <w:tcMar>
              <w:top w:w="95" w:type="dxa"/>
              <w:start w:w="95" w:type="dxa"/>
              <w:bottom w:w="95" w:type="dxa"/>
              <w:end w:w="95" w:type="dxa"/>
            </w:tcMar>
            <w:vAlign w:val="center"/>
          </w:tcPr>
          <w:p>
            <w:pPr>
              <w:spacing w:before="0" w:after="0" w:line="259" w:lineRule="auto"/>
              <w:jc w:val="left"/>
            </w:pPr>
            <w:r>
              <w:rPr>
                <w:rFonts w:ascii="Aptos" w:hAnsi="Aptos"/>
                <w:color w:val="1F2937"/>
                <w:sz w:val="18"/>
              </w:rPr>
              <w:t>Hero, example agents, trust section, audit CTA, and lightweight proof system</w:t>
            </w:r>
          </w:p>
        </w:tc>
      </w:tr>
      <w:tr>
        <w:tc>
          <w:tcPr>
            <w:tcW w:type="dxa" w:w="1584"/>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Days 46 to 60</w:t>
            </w:r>
          </w:p>
        </w:tc>
        <w:tc>
          <w:tcPr>
            <w:tcW w:type="dxa" w:w="2304"/>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Run paid tests</w:t>
            </w:r>
          </w:p>
        </w:tc>
        <w:tc>
          <w:tcPr>
            <w:tcW w:type="dxa" w:w="648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Meta creative tests around agents work now, stop typing, and recover the leak</w:t>
            </w:r>
          </w:p>
        </w:tc>
      </w:tr>
      <w:tr>
        <w:tc>
          <w:tcPr>
            <w:tcW w:type="dxa" w:w="1584"/>
            <w:tcMar>
              <w:top w:w="95" w:type="dxa"/>
              <w:start w:w="95" w:type="dxa"/>
              <w:bottom w:w="95" w:type="dxa"/>
              <w:end w:w="95" w:type="dxa"/>
            </w:tcMar>
            <w:vAlign w:val="center"/>
          </w:tcPr>
          <w:p>
            <w:pPr>
              <w:spacing w:before="0" w:after="0" w:line="259" w:lineRule="auto"/>
              <w:jc w:val="left"/>
            </w:pPr>
            <w:r>
              <w:rPr>
                <w:rFonts w:ascii="Aptos" w:hAnsi="Aptos"/>
                <w:color w:val="1F2937"/>
                <w:sz w:val="18"/>
              </w:rPr>
              <w:t>Days 61 to 90</w:t>
            </w:r>
          </w:p>
        </w:tc>
        <w:tc>
          <w:tcPr>
            <w:tcW w:type="dxa" w:w="2304"/>
            <w:tcMar>
              <w:top w:w="95" w:type="dxa"/>
              <w:start w:w="95" w:type="dxa"/>
              <w:bottom w:w="95" w:type="dxa"/>
              <w:end w:w="95" w:type="dxa"/>
            </w:tcMar>
            <w:vAlign w:val="center"/>
          </w:tcPr>
          <w:p>
            <w:pPr>
              <w:spacing w:before="0" w:after="0" w:line="259" w:lineRule="auto"/>
              <w:jc w:val="left"/>
            </w:pPr>
            <w:r>
              <w:rPr>
                <w:rFonts w:ascii="Aptos" w:hAnsi="Aptos"/>
                <w:color w:val="1F2937"/>
                <w:sz w:val="18"/>
              </w:rPr>
              <w:t>Refine from live demand</w:t>
            </w:r>
          </w:p>
        </w:tc>
        <w:tc>
          <w:tcPr>
            <w:tcW w:type="dxa" w:w="6480"/>
            <w:tcMar>
              <w:top w:w="95" w:type="dxa"/>
              <w:start w:w="95" w:type="dxa"/>
              <w:bottom w:w="95" w:type="dxa"/>
              <w:end w:w="95" w:type="dxa"/>
            </w:tcMar>
            <w:vAlign w:val="center"/>
          </w:tcPr>
          <w:p>
            <w:r>
              <w:t>Tighten copy, simplify objections handling, formalise the winning first-call script, and standardise operator training handover</w:t>
            </w:r>
          </w:p>
        </w:tc>
      </w:tr>
    </w:tbl>
    <w:p/>
    <w:p>
      <w:pPr>
        <w:pStyle w:val="SubsectionCustom"/>
        <w:spacing w:before="80" w:after="80" w:line="240" w:lineRule="auto"/>
      </w:pPr>
      <w:r>
        <w:t>What success should look like in the first phase</w:t>
      </w:r>
    </w:p>
    <w:p>
      <w:pPr>
        <w:pStyle w:val="BulletCustom"/>
        <w:spacing w:before="0" w:after="50" w:line="264" w:lineRule="auto"/>
      </w:pPr>
      <w:r>
        <w:t>Prospects can repeat back the offer in one sentence.</w:t>
      </w:r>
    </w:p>
    <w:p>
      <w:pPr>
        <w:pStyle w:val="BulletCustom"/>
        <w:spacing w:before="0" w:after="50" w:line="264" w:lineRule="auto"/>
      </w:pPr>
      <w:r>
        <w:t>At least one example use case reliably attracts interest and meetings.</w:t>
      </w:r>
    </w:p>
    <w:p>
      <w:pPr>
        <w:pStyle w:val="BulletCustom"/>
        <w:spacing w:before="0" w:after="50" w:line="264" w:lineRule="auto"/>
      </w:pPr>
      <w:r>
        <w:t>The first builds are bounded and profitable rather than over-customised.</w:t>
      </w:r>
    </w:p>
    <w:p>
      <w:pPr>
        <w:pStyle w:val="BulletCustom"/>
        <w:spacing w:before="0" w:after="50" w:line="264" w:lineRule="auto"/>
      </w:pPr>
      <w:r>
        <w:t>Proof starts to compound, making the second sale easier than the first.</w:t>
      </w:r>
    </w:p>
    <w:p>
      <w:pPr>
        <w:pStyle w:val="BulletCustom"/>
        <w:spacing w:before="0" w:after="50" w:line="264" w:lineRule="auto"/>
      </w:pPr>
      <w:r>
        <w:t>Clawsome begins to see repeated demand patterns that can become packs.</w:t>
      </w:r>
    </w:p>
    <w:p>
      <w:pPr>
        <w:pStyle w:val="SectionCustom"/>
        <w:spacing w:before="160" w:after="120" w:line="240" w:lineRule="auto"/>
        <w:pBdr>
          <w:bottom w:val="single" w:sz="6" w:space="1" w:color="D8DDE6"/>
        </w:pBdr>
      </w:pPr>
      <w:r>
        <w:t>Key Risks and Guardrails</w:t>
      </w:r>
    </w:p>
    <w:tbl>
      <w:tblPr>
        <w:tblW w:type="auto" w:w="0"/>
        <w:jc w:val="center"/>
        <w:tblLayout w:type="fixed"/>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3312"/>
        <w:gridCol w:w="3312"/>
        <w:gridCol w:w="3312"/>
      </w:tblGrid>
      <w:tr>
        <w:tc>
          <w:tcPr>
            <w:tcW w:type="dxa" w:w="2160"/>
            <w:shd w:fill="EAF1F8"/>
            <w:tcMar>
              <w:top w:w="90" w:type="dxa"/>
              <w:start w:w="90" w:type="dxa"/>
              <w:bottom w:w="90" w:type="dxa"/>
              <w:end w:w="90" w:type="dxa"/>
            </w:tcMar>
            <w:vAlign w:val="center"/>
          </w:tcPr>
          <w:p>
            <w:pPr>
              <w:jc w:val="left"/>
            </w:pPr>
            <w:r>
              <w:rPr>
                <w:rFonts w:ascii="Aptos" w:hAnsi="Aptos"/>
                <w:b/>
                <w:color w:val="0E1E36"/>
                <w:sz w:val="18"/>
              </w:rPr>
              <w:t>Risk</w:t>
            </w:r>
          </w:p>
        </w:tc>
        <w:tc>
          <w:tcPr>
            <w:tcW w:type="dxa" w:w="3168"/>
            <w:shd w:fill="EAF1F8"/>
            <w:tcMar>
              <w:top w:w="90" w:type="dxa"/>
              <w:start w:w="90" w:type="dxa"/>
              <w:bottom w:w="90" w:type="dxa"/>
              <w:end w:w="90" w:type="dxa"/>
            </w:tcMar>
            <w:vAlign w:val="center"/>
          </w:tcPr>
          <w:p>
            <w:pPr>
              <w:jc w:val="left"/>
            </w:pPr>
            <w:r>
              <w:rPr>
                <w:rFonts w:ascii="Aptos" w:hAnsi="Aptos"/>
                <w:b/>
                <w:color w:val="0E1E36"/>
                <w:sz w:val="18"/>
              </w:rPr>
              <w:t>Why it matters</w:t>
            </w:r>
          </w:p>
        </w:tc>
        <w:tc>
          <w:tcPr>
            <w:tcW w:type="dxa" w:w="5040"/>
            <w:shd w:fill="EAF1F8"/>
            <w:tcMar>
              <w:top w:w="90" w:type="dxa"/>
              <w:start w:w="90" w:type="dxa"/>
              <w:bottom w:w="90" w:type="dxa"/>
              <w:end w:w="90" w:type="dxa"/>
            </w:tcMar>
            <w:vAlign w:val="center"/>
          </w:tcPr>
          <w:p>
            <w:pPr>
              <w:jc w:val="left"/>
            </w:pPr>
            <w:r>
              <w:rPr>
                <w:rFonts w:ascii="Aptos" w:hAnsi="Aptos"/>
                <w:b/>
                <w:color w:val="0E1E36"/>
                <w:sz w:val="18"/>
              </w:rPr>
              <w:t>Guardrail</w:t>
            </w:r>
          </w:p>
        </w:tc>
      </w:tr>
      <w:tr>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Looking too broad</w:t>
            </w:r>
          </w:p>
        </w:tc>
        <w:tc>
          <w:tcPr>
            <w:tcW w:type="dxa" w:w="3168"/>
            <w:tcMar>
              <w:top w:w="95" w:type="dxa"/>
              <w:start w:w="95" w:type="dxa"/>
              <w:bottom w:w="95" w:type="dxa"/>
              <w:end w:w="95" w:type="dxa"/>
            </w:tcMar>
            <w:vAlign w:val="center"/>
          </w:tcPr>
          <w:p>
            <w:pPr>
              <w:spacing w:before="0" w:after="0" w:line="259" w:lineRule="auto"/>
              <w:jc w:val="left"/>
            </w:pPr>
            <w:r>
              <w:rPr>
                <w:rFonts w:ascii="Aptos" w:hAnsi="Aptos"/>
                <w:color w:val="1F2937"/>
                <w:sz w:val="18"/>
              </w:rPr>
              <w:t>The offer becomes vague and harder to buy</w:t>
            </w:r>
          </w:p>
        </w:tc>
        <w:tc>
          <w:tcPr>
            <w:tcW w:type="dxa" w:w="5040"/>
            <w:tcMar>
              <w:top w:w="95" w:type="dxa"/>
              <w:start w:w="95" w:type="dxa"/>
              <w:bottom w:w="95" w:type="dxa"/>
              <w:end w:w="95" w:type="dxa"/>
            </w:tcMar>
            <w:vAlign w:val="center"/>
          </w:tcPr>
          <w:p>
            <w:pPr>
              <w:spacing w:before="0" w:after="0" w:line="259" w:lineRule="auto"/>
              <w:jc w:val="left"/>
            </w:pPr>
            <w:r>
              <w:rPr>
                <w:rFonts w:ascii="Aptos" w:hAnsi="Aptos"/>
                <w:color w:val="1F2937"/>
                <w:sz w:val="18"/>
              </w:rPr>
              <w:t>Keep three hero use cases and one front-door sprint</w:t>
            </w:r>
          </w:p>
        </w:tc>
      </w:tr>
      <w:tr>
        <w:tc>
          <w:tcPr>
            <w:tcW w:type="dxa" w:w="216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Looking too cheap</w:t>
            </w:r>
          </w:p>
        </w:tc>
        <w:tc>
          <w:tcPr>
            <w:tcW w:type="dxa" w:w="316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Quick wins can sound like low-end freelance automation</w:t>
            </w:r>
          </w:p>
        </w:tc>
        <w:tc>
          <w:tcPr>
            <w:tcW w:type="dxa" w:w="504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Maintain premium design, clear process, and strong trust language</w:t>
            </w:r>
          </w:p>
        </w:tc>
      </w:tr>
      <w:tr>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Under-scoped builds</w:t>
            </w:r>
          </w:p>
        </w:tc>
        <w:tc>
          <w:tcPr>
            <w:tcW w:type="dxa" w:w="3168"/>
            <w:tcMar>
              <w:top w:w="95" w:type="dxa"/>
              <w:start w:w="95" w:type="dxa"/>
              <w:bottom w:w="95" w:type="dxa"/>
              <w:end w:w="95" w:type="dxa"/>
            </w:tcMar>
            <w:vAlign w:val="center"/>
          </w:tcPr>
          <w:p>
            <w:pPr>
              <w:spacing w:before="0" w:after="0" w:line="259" w:lineRule="auto"/>
              <w:jc w:val="left"/>
            </w:pPr>
            <w:r>
              <w:rPr>
                <w:rFonts w:ascii="Aptos" w:hAnsi="Aptos"/>
                <w:color w:val="1F2937"/>
                <w:sz w:val="18"/>
              </w:rPr>
              <w:t>The first project becomes messy and unprofitable</w:t>
            </w:r>
          </w:p>
        </w:tc>
        <w:tc>
          <w:tcPr>
            <w:tcW w:type="dxa" w:w="5040"/>
            <w:tcMar>
              <w:top w:w="95" w:type="dxa"/>
              <w:start w:w="95" w:type="dxa"/>
              <w:bottom w:w="95" w:type="dxa"/>
              <w:end w:w="95" w:type="dxa"/>
            </w:tcMar>
            <w:vAlign w:val="center"/>
          </w:tcPr>
          <w:p>
            <w:pPr>
              <w:spacing w:before="0" w:after="0" w:line="259" w:lineRule="auto"/>
              <w:jc w:val="left"/>
            </w:pPr>
            <w:r>
              <w:rPr>
                <w:rFonts w:ascii="Aptos" w:hAnsi="Aptos"/>
                <w:color w:val="1F2937"/>
                <w:sz w:val="18"/>
              </w:rPr>
              <w:t>Be strict about bounded workflows and integration limits</w:t>
            </w:r>
          </w:p>
        </w:tc>
      </w:tr>
      <w:tr>
        <w:tc>
          <w:tcPr>
            <w:tcW w:type="dxa" w:w="216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Overclaiming autonomy</w:t>
            </w:r>
          </w:p>
        </w:tc>
        <w:tc>
          <w:tcPr>
            <w:tcW w:type="dxa" w:w="3168"/>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Trust collapses if the sales story sounds reckless</w:t>
            </w:r>
          </w:p>
        </w:tc>
        <w:tc>
          <w:tcPr>
            <w:tcW w:type="dxa" w:w="5040"/>
            <w:tcMar>
              <w:top w:w="95" w:type="dxa"/>
              <w:start w:w="95" w:type="dxa"/>
              <w:bottom w:w="95" w:type="dxa"/>
              <w:end w:w="95" w:type="dxa"/>
            </w:tcMar>
            <w:vAlign w:val="center"/>
            <w:shd w:fill="F8FAFC"/>
          </w:tcPr>
          <w:p>
            <w:pPr>
              <w:spacing w:before="0" w:after="0" w:line="259" w:lineRule="auto"/>
              <w:jc w:val="left"/>
            </w:pPr>
            <w:r>
              <w:rPr>
                <w:rFonts w:ascii="Aptos" w:hAnsi="Aptos"/>
                <w:color w:val="1F2937"/>
                <w:sz w:val="18"/>
              </w:rPr>
              <w:t>State clearly where approvals, controls, and logging apply</w:t>
            </w:r>
          </w:p>
        </w:tc>
      </w:tr>
      <w:tr>
        <w:tc>
          <w:tcPr>
            <w:tcW w:type="dxa" w:w="2160"/>
            <w:tcMar>
              <w:top w:w="95" w:type="dxa"/>
              <w:start w:w="95" w:type="dxa"/>
              <w:bottom w:w="95" w:type="dxa"/>
              <w:end w:w="95" w:type="dxa"/>
            </w:tcMar>
            <w:vAlign w:val="center"/>
          </w:tcPr>
          <w:p>
            <w:pPr>
              <w:spacing w:before="0" w:after="0" w:line="259" w:lineRule="auto"/>
              <w:jc w:val="left"/>
            </w:pPr>
            <w:r>
              <w:rPr>
                <w:rFonts w:ascii="Aptos" w:hAnsi="Aptos"/>
                <w:color w:val="1F2937"/>
                <w:sz w:val="18"/>
              </w:rPr>
              <w:t>Failing to codify wins</w:t>
            </w:r>
          </w:p>
        </w:tc>
        <w:tc>
          <w:tcPr>
            <w:tcW w:type="dxa" w:w="3168"/>
            <w:tcMar>
              <w:top w:w="95" w:type="dxa"/>
              <w:start w:w="95" w:type="dxa"/>
              <w:bottom w:w="95" w:type="dxa"/>
              <w:end w:w="95" w:type="dxa"/>
            </w:tcMar>
            <w:vAlign w:val="center"/>
          </w:tcPr>
          <w:p>
            <w:pPr>
              <w:spacing w:before="0" w:after="0" w:line="259" w:lineRule="auto"/>
              <w:jc w:val="left"/>
            </w:pPr>
            <w:r>
              <w:rPr>
                <w:rFonts w:ascii="Aptos" w:hAnsi="Aptos"/>
                <w:color w:val="1F2937"/>
                <w:sz w:val="18"/>
              </w:rPr>
              <w:t>The business stays trapped in bespoke service work</w:t>
            </w:r>
          </w:p>
        </w:tc>
        <w:tc>
          <w:tcPr>
            <w:tcW w:type="dxa" w:w="5040"/>
            <w:tcMar>
              <w:top w:w="95" w:type="dxa"/>
              <w:start w:w="95" w:type="dxa"/>
              <w:bottom w:w="95" w:type="dxa"/>
              <w:end w:w="95" w:type="dxa"/>
            </w:tcMar>
            <w:vAlign w:val="center"/>
          </w:tcPr>
          <w:p>
            <w:pPr>
              <w:spacing w:before="0" w:after="0" w:line="259" w:lineRule="auto"/>
              <w:jc w:val="left"/>
            </w:pPr>
            <w:r>
              <w:rPr>
                <w:rFonts w:ascii="Aptos" w:hAnsi="Aptos"/>
                <w:color w:val="1F2937"/>
                <w:sz w:val="18"/>
              </w:rPr>
              <w:t>Package repeated workflows into named offers as soon as patterns emerge</w:t>
            </w:r>
          </w:p>
        </w:tc>
      </w:tr>
    </w:tbl>
    <w:p/>
    <w:p>
      <w:pPr>
        <w:pStyle w:val="SectionCustom"/>
        <w:spacing w:before="160" w:after="120" w:line="240" w:lineRule="auto"/>
        <w:pBdr>
          <w:bottom w:val="single" w:sz="6" w:space="1" w:color="D8DDE6"/>
        </w:pBdr>
      </w:pPr>
      <w:r>
        <w:t>Closing View</w:t>
      </w:r>
    </w:p>
    <w:p>
      <w:pPr>
        <w:spacing w:before="0" w:after="120" w:line="276" w:lineRule="auto"/>
      </w:pPr>
      <w:r>
        <w:t>Clawsome should ask the market to buy a first win.</w:t>
      </w:r>
    </w:p>
    <w:p>
      <w:pPr>
        <w:spacing w:before="0" w:after="120" w:line="276" w:lineRule="auto"/>
      </w:pPr>
      <w:r>
        <w:t>That is the strategic heart of the model. Start with one useful agent. Use OpenClaw and Claude to remove a painful piece of work. Prove the value quickly. Then use that proof to expand into a broader agentic relationship.</w:t>
      </w:r>
    </w:p>
    <w:p>
      <w:pPr>
        <w:spacing w:before="0" w:after="120" w:line="276" w:lineRule="auto"/>
      </w:pPr>
      <w:r>
        <w:t>The commercial narrative therefore becomes much sharper:</w:t>
      </w:r>
    </w:p>
    <w:p>
      <w:pPr>
        <w:pStyle w:val="QuoteCustom"/>
        <w:spacing w:before="40" w:after="200" w:line="288" w:lineRule="auto"/>
      </w:pPr>
      <w:r>
        <w:t>Agents work now. We can set them up for you and start your journey.</w:t>
      </w:r>
    </w:p>
    <w:p>
      <w:pPr>
        <w:spacing w:before="0" w:after="120" w:line="276" w:lineRule="auto"/>
      </w:pPr>
      <w:r>
        <w:t>Everything in the offer stack, website, campaigns, proof strategy, and delivery model should now reinforce that message.</w:t>
      </w:r>
    </w:p>
    <w:p>
      <w:pPr>
        <w:pStyle w:val="SectionCustom"/>
        <w:spacing w:before="160" w:after="120" w:line="240" w:lineRule="auto"/>
        <w:pBdr>
          <w:bottom w:val="single" w:sz="6" w:space="1" w:color="D8DDE6"/>
        </w:pBdr>
      </w:pPr>
      <w:r>
        <w:t>Source Note</w:t>
      </w:r>
    </w:p>
    <w:p>
      <w:pPr>
        <w:pStyle w:val="BodySmall"/>
        <w:spacing w:before="0" w:after="40" w:line="276" w:lineRule="auto"/>
      </w:pPr>
      <w:r>
        <w:t>This document sets out the Clawsome commercial model, offer stack, website direction, and growth logic as a quick-win-first agent setup business for SMEs.</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Vision Document for Clawsome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rPr>
      <w:rFonts w:ascii="Aptos Display" w:hAnsi="Aptos Display"/>
      <w:b/>
      <w:i w:val="0"/>
      <w:color w:val="0E1E36"/>
      <w:sz w:val="48"/>
    </w:rPr>
  </w:style>
  <w:style w:type="paragraph" w:customStyle="1" w:styleId="SubtitleCustom">
    <w:name w:val="SubtitleCustom"/>
    <w:basedOn w:val="Subtitle"/>
    <w:rPr>
      <w:rFonts w:ascii="Aptos" w:hAnsi="Aptos"/>
      <w:b w:val="0"/>
      <w:i w:val="0"/>
      <w:color w:val="414B5F"/>
      <w:sz w:val="25"/>
    </w:rPr>
  </w:style>
  <w:style w:type="paragraph" w:customStyle="1" w:styleId="SectionCustom">
    <w:name w:val="SectionCustom"/>
    <w:basedOn w:val="Heading1"/>
    <w:rPr>
      <w:rFonts w:ascii="Aptos Display" w:hAnsi="Aptos Display"/>
      <w:b/>
      <w:i w:val="0"/>
      <w:color w:val="0E1E36"/>
      <w:sz w:val="32"/>
    </w:rPr>
  </w:style>
  <w:style w:type="paragraph" w:customStyle="1" w:styleId="SubsectionCustom">
    <w:name w:val="SubsectionCustom"/>
    <w:basedOn w:val="Heading2"/>
    <w:rPr>
      <w:rFonts w:ascii="Aptos" w:hAnsi="Aptos"/>
      <w:b/>
      <w:i w:val="0"/>
      <w:color w:val="164E63"/>
      <w:sz w:val="25"/>
    </w:rPr>
  </w:style>
  <w:style w:type="paragraph" w:customStyle="1" w:styleId="BodySmall">
    <w:name w:val="BodySmall"/>
    <w:basedOn w:val="Normal"/>
    <w:rPr>
      <w:rFonts w:ascii="Aptos" w:hAnsi="Aptos"/>
      <w:b w:val="0"/>
      <w:i w:val="0"/>
      <w:color w:val="4B5563"/>
      <w:sz w:val="18"/>
    </w:rPr>
  </w:style>
  <w:style w:type="paragraph" w:customStyle="1" w:styleId="QuoteCustom">
    <w:name w:val="QuoteCustom"/>
    <w:basedOn w:val="Normal"/>
    <w:rPr>
      <w:rFonts w:ascii="Aptos" w:hAnsi="Aptos"/>
      <w:b w:val="0"/>
      <w:i w:val="0"/>
      <w:color w:val="0E1E36"/>
      <w:sz w:val="23"/>
    </w:rPr>
  </w:style>
  <w:style w:type="paragraph" w:customStyle="1" w:styleId="BulletCustom">
    <w:name w:val="BulletCustom"/>
    <w:basedOn w:val="ListBullet"/>
    <w:rPr>
      <w:rFonts w:ascii="Aptos" w:hAnsi="Aptos"/>
      <w:b w:val="0"/>
      <w:i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Document for Clawsome</dc:title>
  <dc:subject>Clawsome vision document</dc:subject>
  <dc:creator>python-docx</dc:creator>
  <cp:keywords/>
  <dc:description>Retitled version</dc:description>
  <cp:lastModifiedBy/>
  <cp:revision>1</cp:revision>
  <dcterms:created xsi:type="dcterms:W3CDTF">2013-12-23T23:15:00Z</dcterms:created>
  <dcterms:modified xsi:type="dcterms:W3CDTF">2013-12-23T23:15:00Z</dcterms:modified>
  <cp:category/>
</cp:coreProperties>
</file>