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39AA" w14:textId="69BD62FA" w:rsidR="00B35D0B" w:rsidRPr="00832315" w:rsidRDefault="00FA019D">
      <w:pPr>
        <w:keepNext/>
        <w:spacing w:after="40" w:line="240" w:lineRule="auto"/>
        <w:rPr>
          <w:color w:val="000000" w:themeColor="text1"/>
        </w:rPr>
      </w:pPr>
      <w:r>
        <w:rPr>
          <w:rFonts w:ascii="Georgia" w:eastAsia="Georgia" w:hAnsi="Georgia"/>
          <w:b/>
          <w:color w:val="000000" w:themeColor="text1"/>
          <w:sz w:val="48"/>
        </w:rPr>
        <w:t xml:space="preserve"> </w:t>
      </w:r>
      <w:r w:rsidR="00000000" w:rsidRPr="00832315">
        <w:rPr>
          <w:rFonts w:ascii="Georgia" w:eastAsia="Georgia" w:hAnsi="Georgia"/>
          <w:b/>
          <w:color w:val="000000" w:themeColor="text1"/>
          <w:sz w:val="48"/>
        </w:rPr>
        <w:t>The case for an AI Impact Board for Norfolk</w:t>
      </w:r>
    </w:p>
    <w:p w14:paraId="521DD0A0" w14:textId="7A3FEB50" w:rsidR="00B35D0B" w:rsidRDefault="00EC2C38">
      <w:pPr>
        <w:keepNext/>
        <w:spacing w:line="240" w:lineRule="auto"/>
      </w:pPr>
      <w:r>
        <w:rPr>
          <w:i/>
          <w:color w:val="6E6E6E"/>
          <w:sz w:val="21"/>
        </w:rPr>
        <w:t>Proposal for discussion with Norfolk Chambers of Commerce leadership and relevant digital governance stakeholders</w:t>
      </w:r>
    </w:p>
    <w:tbl>
      <w:tblPr>
        <w:tblW w:w="0" w:type="auto"/>
        <w:jc w:val="center"/>
        <w:tblLook w:val="04A0" w:firstRow="1" w:lastRow="0" w:firstColumn="1" w:lastColumn="0" w:noHBand="0" w:noVBand="1"/>
      </w:tblPr>
      <w:tblGrid>
        <w:gridCol w:w="9792"/>
      </w:tblGrid>
      <w:tr w:rsidR="00B35D0B" w14:paraId="1B7245AE" w14:textId="77777777">
        <w:trPr>
          <w:jc w:val="center"/>
        </w:trPr>
        <w:tc>
          <w:tcPr>
            <w:tcW w:w="9792" w:type="dxa"/>
            <w:tcBorders>
              <w:left w:val="single" w:sz="16" w:space="0" w:color="243E62"/>
            </w:tcBorders>
            <w:shd w:val="clear" w:color="auto" w:fill="F3F6FA"/>
            <w:tcMar>
              <w:top w:w="120" w:type="dxa"/>
              <w:left w:w="160" w:type="dxa"/>
              <w:bottom w:w="120" w:type="dxa"/>
              <w:right w:w="160" w:type="dxa"/>
            </w:tcMar>
          </w:tcPr>
          <w:p w14:paraId="27930F0B" w14:textId="77777777" w:rsidR="00EC2C38" w:rsidRDefault="00000000">
            <w:pPr>
              <w:spacing w:after="0" w:line="269" w:lineRule="auto"/>
            </w:pPr>
            <w:r>
              <w:t xml:space="preserve">Norfolk is unlikely to avoid the next phase of AI disruption. As AI shifts from answering questions to carrying out work across tools and systems, the county faces a transition that could be economically </w:t>
            </w:r>
            <w:r w:rsidR="004A0A41">
              <w:t>disruptive</w:t>
            </w:r>
            <w:r>
              <w:t xml:space="preserve">, </w:t>
            </w:r>
            <w:r w:rsidR="004A0A41">
              <w:t>unusually fast</w:t>
            </w:r>
            <w:r>
              <w:t xml:space="preserve"> and uneven </w:t>
            </w:r>
            <w:r w:rsidR="004A0A41">
              <w:t>in distribution</w:t>
            </w:r>
            <w:r>
              <w:t xml:space="preserve">. </w:t>
            </w:r>
          </w:p>
          <w:p w14:paraId="6776AB39" w14:textId="77777777" w:rsidR="00EC2C38" w:rsidRDefault="00EC2C38">
            <w:pPr>
              <w:spacing w:after="0" w:line="269" w:lineRule="auto"/>
            </w:pPr>
          </w:p>
          <w:p w14:paraId="5CD967DC" w14:textId="4FB4D5B0" w:rsidR="00B35D0B" w:rsidRDefault="00000000">
            <w:pPr>
              <w:spacing w:after="0" w:line="269" w:lineRule="auto"/>
            </w:pPr>
            <w:r>
              <w:t>A modest AI Impact Board would give business and civic leaders a way to understand that shift early and respond in a coordinated way.</w:t>
            </w:r>
          </w:p>
        </w:tc>
      </w:tr>
    </w:tbl>
    <w:p w14:paraId="09E7E720" w14:textId="77777777" w:rsidR="00B35D0B" w:rsidRDefault="00B35D0B"/>
    <w:p w14:paraId="209A71F8"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this matters now</w:t>
      </w:r>
    </w:p>
    <w:p w14:paraId="60130B89" w14:textId="77777777" w:rsidR="00B35D0B" w:rsidRPr="004A0A41" w:rsidRDefault="00000000">
      <w:pPr>
        <w:spacing w:after="140" w:line="274" w:lineRule="auto"/>
        <w:rPr>
          <w:sz w:val="22"/>
        </w:rPr>
      </w:pPr>
      <w:r w:rsidRPr="004A0A41">
        <w:rPr>
          <w:sz w:val="22"/>
        </w:rPr>
        <w:t>We are seeing a rapid shift from chatbot AI to agentic AI.</w:t>
      </w:r>
    </w:p>
    <w:p w14:paraId="55AE7BCE" w14:textId="77777777" w:rsidR="00B35D0B" w:rsidRPr="004A0A41" w:rsidRDefault="00000000">
      <w:pPr>
        <w:spacing w:after="140" w:line="274" w:lineRule="auto"/>
        <w:rPr>
          <w:sz w:val="22"/>
        </w:rPr>
      </w:pPr>
      <w:r w:rsidRPr="004A0A41">
        <w:rPr>
          <w:sz w:val="22"/>
        </w:rPr>
        <w:t>The key difference is that agents can be connected to tools. Agents linked to email, CRMs, spreadsheets, code tools, databases and internal systems are already starting to act in the business world.</w:t>
      </w:r>
    </w:p>
    <w:p w14:paraId="21D08367" w14:textId="5CD63BDE" w:rsidR="00B35D0B" w:rsidRPr="004A0A41" w:rsidRDefault="00000000">
      <w:pPr>
        <w:spacing w:after="140" w:line="274" w:lineRule="auto"/>
        <w:rPr>
          <w:sz w:val="22"/>
        </w:rPr>
      </w:pPr>
      <w:r w:rsidRPr="004A0A41">
        <w:rPr>
          <w:sz w:val="22"/>
        </w:rPr>
        <w:t>To increase their autonomy and scale, their ecosystem is being built out at speed. They are being offered agent-specific email accounts, credit cards and wikis. This allows them to carry out multi-step</w:t>
      </w:r>
      <w:r w:rsidR="004A0A41">
        <w:rPr>
          <w:sz w:val="22"/>
        </w:rPr>
        <w:t>, multi-domain</w:t>
      </w:r>
      <w:r w:rsidRPr="004A0A41">
        <w:rPr>
          <w:sz w:val="22"/>
        </w:rPr>
        <w:t xml:space="preserve"> work with limited human supervision</w:t>
      </w:r>
      <w:r w:rsidR="004A0A41">
        <w:rPr>
          <w:sz w:val="22"/>
        </w:rPr>
        <w:t>, acting in both competitive and collaborative ways.</w:t>
      </w:r>
    </w:p>
    <w:p w14:paraId="574DB9AB" w14:textId="77777777" w:rsidR="00B35D0B" w:rsidRPr="004A0A41" w:rsidRDefault="00000000">
      <w:pPr>
        <w:spacing w:after="140" w:line="274" w:lineRule="auto"/>
        <w:rPr>
          <w:sz w:val="22"/>
        </w:rPr>
      </w:pPr>
      <w:r w:rsidRPr="004A0A41">
        <w:rPr>
          <w:sz w:val="22"/>
        </w:rPr>
        <w:t xml:space="preserve">This is the beginning of the </w:t>
      </w:r>
      <w:r w:rsidRPr="004A0A41">
        <w:rPr>
          <w:b/>
          <w:bCs/>
          <w:sz w:val="22"/>
        </w:rPr>
        <w:t>agentic economy</w:t>
      </w:r>
      <w:r w:rsidRPr="004A0A41">
        <w:rPr>
          <w:sz w:val="22"/>
        </w:rPr>
        <w:t>: a shift from AI as advice to AI as execution. That matters because it changes more than productivity software. It changes cost structures, staffing assumptions, competitive pressure, the minimum scale needed to operate effectively, and the speed at which firms can adapt.</w:t>
      </w:r>
    </w:p>
    <w:p w14:paraId="5BD8B840" w14:textId="77777777" w:rsidR="00B35D0B" w:rsidRPr="004A0A41" w:rsidRDefault="00000000">
      <w:pPr>
        <w:spacing w:after="140" w:line="274" w:lineRule="auto"/>
        <w:rPr>
          <w:sz w:val="22"/>
        </w:rPr>
      </w:pPr>
      <w:r w:rsidRPr="004A0A41">
        <w:rPr>
          <w:sz w:val="22"/>
        </w:rPr>
        <w:t>Some organisations will gain new, powerful capabilities very quickly. Others will find parts of their workflow, service model or cost base under pressure.</w:t>
      </w:r>
    </w:p>
    <w:p w14:paraId="24215501"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OpenClaw lit the fuse</w:t>
      </w:r>
    </w:p>
    <w:p w14:paraId="2DC6D477" w14:textId="55A0B705" w:rsidR="00B35D0B" w:rsidRPr="004A0A41" w:rsidRDefault="00000000">
      <w:pPr>
        <w:spacing w:after="140" w:line="274" w:lineRule="auto"/>
        <w:rPr>
          <w:sz w:val="22"/>
        </w:rPr>
      </w:pPr>
      <w:r w:rsidRPr="004A0A41">
        <w:rPr>
          <w:sz w:val="22"/>
        </w:rPr>
        <w:t>The spark from talking to doing was the r</w:t>
      </w:r>
      <w:r w:rsidR="00D006B0" w:rsidRPr="004A0A41">
        <w:rPr>
          <w:sz w:val="22"/>
        </w:rPr>
        <w:t>elease</w:t>
      </w:r>
      <w:r w:rsidRPr="004A0A41">
        <w:rPr>
          <w:sz w:val="22"/>
        </w:rPr>
        <w:t xml:space="preserve"> of OpenClaw, a so-called AI </w:t>
      </w:r>
      <w:r w:rsidR="00FA019D">
        <w:rPr>
          <w:sz w:val="22"/>
        </w:rPr>
        <w:t>‘</w:t>
      </w:r>
      <w:r w:rsidRPr="004A0A41">
        <w:rPr>
          <w:sz w:val="22"/>
        </w:rPr>
        <w:t>harness</w:t>
      </w:r>
      <w:r w:rsidR="00FA019D">
        <w:rPr>
          <w:sz w:val="22"/>
        </w:rPr>
        <w:t>’</w:t>
      </w:r>
      <w:r w:rsidRPr="004A0A41">
        <w:rPr>
          <w:sz w:val="22"/>
        </w:rPr>
        <w:t xml:space="preserve"> that lets leading models use tools and </w:t>
      </w:r>
      <w:r w:rsidR="00EC2C38" w:rsidRPr="004A0A41">
        <w:rPr>
          <w:sz w:val="22"/>
        </w:rPr>
        <w:t>act</w:t>
      </w:r>
      <w:r w:rsidRPr="004A0A41">
        <w:rPr>
          <w:sz w:val="22"/>
        </w:rPr>
        <w:t xml:space="preserve"> across software</w:t>
      </w:r>
      <w:r w:rsidR="00FA019D">
        <w:rPr>
          <w:sz w:val="22"/>
        </w:rPr>
        <w:t xml:space="preserve"> and the internet.</w:t>
      </w:r>
    </w:p>
    <w:p w14:paraId="7100E908" w14:textId="77777777" w:rsidR="00E638BC" w:rsidRPr="004A0A41" w:rsidRDefault="00000000">
      <w:pPr>
        <w:spacing w:after="140" w:line="274" w:lineRule="auto"/>
        <w:rPr>
          <w:sz w:val="22"/>
        </w:rPr>
      </w:pPr>
      <w:r w:rsidRPr="004A0A41">
        <w:rPr>
          <w:sz w:val="22"/>
        </w:rPr>
        <w:t>First introduced in November 2025, its breakout growth matter</w:t>
      </w:r>
      <w:r w:rsidR="00832315" w:rsidRPr="004A0A41">
        <w:rPr>
          <w:sz w:val="22"/>
        </w:rPr>
        <w:t>s</w:t>
      </w:r>
      <w:r w:rsidR="00E638BC" w:rsidRPr="004A0A41">
        <w:rPr>
          <w:sz w:val="22"/>
        </w:rPr>
        <w:t xml:space="preserve"> </w:t>
      </w:r>
      <w:r w:rsidRPr="004A0A41">
        <w:rPr>
          <w:sz w:val="22"/>
        </w:rPr>
        <w:t xml:space="preserve">because it helped turn the idea of the AI agent from a demo into something businesses could </w:t>
      </w:r>
      <w:proofErr w:type="gramStart"/>
      <w:r w:rsidRPr="00FA019D">
        <w:rPr>
          <w:b/>
          <w:bCs/>
          <w:sz w:val="22"/>
        </w:rPr>
        <w:t>actually deploy</w:t>
      </w:r>
      <w:proofErr w:type="gramEnd"/>
      <w:r w:rsidRPr="004A0A41">
        <w:rPr>
          <w:sz w:val="22"/>
        </w:rPr>
        <w:t>. Experimentation is rapid and the copying of OpenClaw-like capabilities is already well underway among frontier AI providers</w:t>
      </w:r>
      <w:r w:rsidR="00E638BC" w:rsidRPr="004A0A41">
        <w:rPr>
          <w:sz w:val="22"/>
        </w:rPr>
        <w:t xml:space="preserve">. </w:t>
      </w:r>
    </w:p>
    <w:p w14:paraId="3FD1AF8C" w14:textId="39D879AB" w:rsidR="00B35D0B" w:rsidRPr="004A0A41" w:rsidRDefault="00E638BC">
      <w:pPr>
        <w:spacing w:after="140" w:line="274" w:lineRule="auto"/>
        <w:rPr>
          <w:sz w:val="22"/>
        </w:rPr>
      </w:pPr>
      <w:r w:rsidRPr="004A0A41">
        <w:rPr>
          <w:sz w:val="22"/>
        </w:rPr>
        <w:t>Notably</w:t>
      </w:r>
      <w:r w:rsidR="00D006B0" w:rsidRPr="004A0A41">
        <w:rPr>
          <w:sz w:val="22"/>
        </w:rPr>
        <w:t>,</w:t>
      </w:r>
      <w:r w:rsidR="00832315" w:rsidRPr="004A0A41">
        <w:rPr>
          <w:sz w:val="22"/>
        </w:rPr>
        <w:t xml:space="preserve"> the security risks are growing as fast as the opportunities.</w:t>
      </w:r>
      <w:r w:rsidR="00D006B0" w:rsidRPr="004A0A41">
        <w:rPr>
          <w:sz w:val="22"/>
        </w:rPr>
        <w:t xml:space="preserve"> </w:t>
      </w:r>
    </w:p>
    <w:p w14:paraId="782EFF24"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lastRenderedPageBreak/>
        <w:t>Why Norfolk should pay attention</w:t>
      </w:r>
    </w:p>
    <w:p w14:paraId="3DFF116C" w14:textId="77777777" w:rsidR="00B35D0B" w:rsidRPr="004A0A41" w:rsidRDefault="00000000">
      <w:pPr>
        <w:spacing w:after="140" w:line="274" w:lineRule="auto"/>
        <w:rPr>
          <w:sz w:val="22"/>
        </w:rPr>
      </w:pPr>
      <w:r w:rsidRPr="004A0A41">
        <w:rPr>
          <w:sz w:val="22"/>
        </w:rPr>
        <w:t>Norfolk will not be insulated from this agentic shift. The county has a broad mix of sectors that are exposed in different ways: financial and professional services, manufacturing and engineering, energy, logistics, tourism, agri-food, health and care, education, and the public sector.</w:t>
      </w:r>
    </w:p>
    <w:p w14:paraId="7D4C341F" w14:textId="77777777" w:rsidR="00B35D0B" w:rsidRPr="004A0A41" w:rsidRDefault="00000000">
      <w:pPr>
        <w:spacing w:after="140" w:line="274" w:lineRule="auto"/>
        <w:rPr>
          <w:sz w:val="22"/>
        </w:rPr>
      </w:pPr>
      <w:r w:rsidRPr="004A0A41">
        <w:rPr>
          <w:sz w:val="22"/>
        </w:rPr>
        <w:t>These sectors all contain large amounts of workflow-heavy, service-heavy or coordination-heavy work, exactly the kind of activity agents are beginning to compress, augment or reorganise. The likely effect is not one dramatic shock, but a bumpy and unpredictable transition.</w:t>
      </w:r>
    </w:p>
    <w:p w14:paraId="0D13390F" w14:textId="77777777" w:rsidR="00EC2C38" w:rsidRDefault="00000000">
      <w:pPr>
        <w:spacing w:after="140" w:line="274" w:lineRule="auto"/>
        <w:rPr>
          <w:sz w:val="22"/>
        </w:rPr>
      </w:pPr>
      <w:r w:rsidRPr="00FA019D">
        <w:rPr>
          <w:b/>
          <w:bCs/>
          <w:sz w:val="22"/>
        </w:rPr>
        <w:t>That AI transition</w:t>
      </w:r>
      <w:r w:rsidRPr="004A0A41">
        <w:rPr>
          <w:sz w:val="22"/>
        </w:rPr>
        <w:t xml:space="preserve"> will create opportunity, threat and risk. </w:t>
      </w:r>
    </w:p>
    <w:p w14:paraId="3D6CAE99" w14:textId="255D8DC3" w:rsidR="004A0A41" w:rsidRPr="004A0A41" w:rsidRDefault="00000000" w:rsidP="004A0A41">
      <w:pPr>
        <w:spacing w:after="140" w:line="274" w:lineRule="auto"/>
        <w:rPr>
          <w:sz w:val="22"/>
        </w:rPr>
      </w:pPr>
      <w:r w:rsidRPr="004A0A41">
        <w:rPr>
          <w:sz w:val="22"/>
        </w:rPr>
        <w:t xml:space="preserve">Some firms will become materially more productive with the same headcount. Some will reduce routine or junior administrative work. Some smaller firms will gain powerful capabilities that previously required </w:t>
      </w:r>
      <w:r w:rsidR="00E638BC" w:rsidRPr="004A0A41">
        <w:rPr>
          <w:sz w:val="22"/>
        </w:rPr>
        <w:t>impossible</w:t>
      </w:r>
      <w:r w:rsidRPr="004A0A41">
        <w:rPr>
          <w:sz w:val="22"/>
        </w:rPr>
        <w:t xml:space="preserve"> investment.</w:t>
      </w:r>
      <w:r w:rsidR="00EC2C38">
        <w:rPr>
          <w:sz w:val="22"/>
        </w:rPr>
        <w:t xml:space="preserve"> </w:t>
      </w:r>
      <w:r w:rsidRPr="004A0A41">
        <w:rPr>
          <w:sz w:val="22"/>
        </w:rPr>
        <w:t>Public bodies</w:t>
      </w:r>
      <w:r w:rsidR="00D006B0" w:rsidRPr="004A0A41">
        <w:rPr>
          <w:sz w:val="22"/>
        </w:rPr>
        <w:t xml:space="preserve">, education, and government </w:t>
      </w:r>
      <w:r w:rsidRPr="004A0A41">
        <w:rPr>
          <w:sz w:val="22"/>
        </w:rPr>
        <w:t>will face harder questions around skills, procurement, cyber risk, governance and resilience.</w:t>
      </w:r>
      <w:r w:rsidR="004A0A41" w:rsidRPr="004A0A41">
        <w:rPr>
          <w:sz w:val="22"/>
        </w:rPr>
        <w:t xml:space="preserve"> </w:t>
      </w:r>
    </w:p>
    <w:p w14:paraId="195089A8" w14:textId="77777777" w:rsidR="004A0A41" w:rsidRPr="004A0A41" w:rsidRDefault="00D006B0" w:rsidP="004A0A41">
      <w:pPr>
        <w:spacing w:after="140" w:line="274" w:lineRule="auto"/>
        <w:rPr>
          <w:sz w:val="22"/>
        </w:rPr>
      </w:pPr>
      <w:r w:rsidRPr="004A0A41">
        <w:rPr>
          <w:sz w:val="22"/>
        </w:rPr>
        <w:t>The defining feature of the agentic shift is likely to be speed. If Norfolk does not adapt, outside competition may intensify and the AI debate may shift from saving jobs to saving businesses. In that environment, local ownership and physical</w:t>
      </w:r>
      <w:r w:rsidR="004A0A41" w:rsidRPr="004A0A41">
        <w:rPr>
          <w:sz w:val="22"/>
        </w:rPr>
        <w:t>ity</w:t>
      </w:r>
      <w:r w:rsidRPr="004A0A41">
        <w:rPr>
          <w:sz w:val="22"/>
        </w:rPr>
        <w:t xml:space="preserve"> are not reliable </w:t>
      </w:r>
      <w:r w:rsidR="004A0A41" w:rsidRPr="004A0A41">
        <w:rPr>
          <w:sz w:val="22"/>
        </w:rPr>
        <w:t>defences</w:t>
      </w:r>
      <w:r w:rsidRPr="004A0A41">
        <w:rPr>
          <w:sz w:val="22"/>
        </w:rPr>
        <w:t xml:space="preserve">. </w:t>
      </w:r>
    </w:p>
    <w:p w14:paraId="661FE388" w14:textId="0F570B13" w:rsidR="00D006B0" w:rsidRPr="004A0A41" w:rsidRDefault="00D006B0" w:rsidP="004A0A41">
      <w:pPr>
        <w:spacing w:after="140" w:line="274" w:lineRule="auto"/>
        <w:rPr>
          <w:sz w:val="22"/>
        </w:rPr>
      </w:pPr>
      <w:r w:rsidRPr="004A0A41">
        <w:rPr>
          <w:sz w:val="22"/>
        </w:rPr>
        <w:t>A Norfolk-based employer could still be undercut, acquired or outperformed by a more agentic competitor, while larger semi-automated firms may cut headcount and move</w:t>
      </w:r>
      <w:r w:rsidR="004A0A41" w:rsidRPr="004A0A41">
        <w:rPr>
          <w:sz w:val="22"/>
        </w:rPr>
        <w:t xml:space="preserve"> </w:t>
      </w:r>
      <w:r w:rsidRPr="004A0A41">
        <w:rPr>
          <w:sz w:val="22"/>
        </w:rPr>
        <w:t>elsewhere.</w:t>
      </w:r>
    </w:p>
    <w:p w14:paraId="72D1FCC5" w14:textId="3C5A0FE0" w:rsidR="00B35D0B" w:rsidRPr="00832315" w:rsidRDefault="00000000">
      <w:pPr>
        <w:keepNext/>
        <w:spacing w:before="240" w:after="80" w:line="240" w:lineRule="auto"/>
        <w:rPr>
          <w:color w:val="000000" w:themeColor="text1"/>
        </w:rPr>
      </w:pPr>
      <w:r w:rsidRPr="00832315">
        <w:rPr>
          <w:rFonts w:ascii="Aptos Display" w:hAnsi="Aptos Display"/>
          <w:b/>
          <w:color w:val="000000" w:themeColor="text1"/>
          <w:sz w:val="30"/>
        </w:rPr>
        <w:t>Where Norfolk may feel it first</w:t>
      </w:r>
    </w:p>
    <w:p w14:paraId="7CDB198F" w14:textId="5D867FD4" w:rsidR="00B35D0B" w:rsidRPr="004A0A41" w:rsidRDefault="00000000">
      <w:pPr>
        <w:spacing w:after="140" w:line="274" w:lineRule="auto"/>
        <w:rPr>
          <w:sz w:val="22"/>
        </w:rPr>
      </w:pPr>
      <w:r w:rsidRPr="004A0A41">
        <w:rPr>
          <w:sz w:val="22"/>
        </w:rPr>
        <w:t>Norfolk has</w:t>
      </w:r>
      <w:r w:rsidR="00E638BC" w:rsidRPr="004A0A41">
        <w:rPr>
          <w:sz w:val="22"/>
        </w:rPr>
        <w:t xml:space="preserve"> </w:t>
      </w:r>
      <w:r w:rsidR="00832315" w:rsidRPr="004A0A41">
        <w:rPr>
          <w:sz w:val="22"/>
        </w:rPr>
        <w:t>roughly</w:t>
      </w:r>
      <w:r w:rsidR="00E638BC" w:rsidRPr="004A0A41">
        <w:rPr>
          <w:sz w:val="22"/>
        </w:rPr>
        <w:t xml:space="preserve"> </w:t>
      </w:r>
      <w:r w:rsidRPr="004A0A41">
        <w:rPr>
          <w:sz w:val="22"/>
        </w:rPr>
        <w:t>37</w:t>
      </w:r>
      <w:r w:rsidR="00832315" w:rsidRPr="004A0A41">
        <w:rPr>
          <w:sz w:val="22"/>
        </w:rPr>
        <w:t>0</w:t>
      </w:r>
      <w:r w:rsidRPr="004A0A41">
        <w:rPr>
          <w:sz w:val="22"/>
        </w:rPr>
        <w:t xml:space="preserve">,000 employee jobs. </w:t>
      </w:r>
      <w:r w:rsidR="00E638BC" w:rsidRPr="004A0A41">
        <w:rPr>
          <w:sz w:val="22"/>
        </w:rPr>
        <w:t xml:space="preserve">Three of the largest </w:t>
      </w:r>
      <w:r w:rsidRPr="004A0A41">
        <w:rPr>
          <w:sz w:val="22"/>
        </w:rPr>
        <w:t>sectors are health and social work (60,000), wholesale and retail (60,000), and accommodation and food services (34,000). These are all rich in the kinds of scheduling, documentation, customer handling and routine coordination work that agentic AI is starting to compress.</w:t>
      </w:r>
    </w:p>
    <w:p w14:paraId="7C7076DC" w14:textId="77777777" w:rsidR="00B35D0B" w:rsidRPr="004A0A41" w:rsidRDefault="00000000">
      <w:pPr>
        <w:spacing w:after="140" w:line="274" w:lineRule="auto"/>
        <w:rPr>
          <w:sz w:val="22"/>
        </w:rPr>
      </w:pPr>
      <w:r w:rsidRPr="004A0A41">
        <w:rPr>
          <w:sz w:val="22"/>
        </w:rPr>
        <w:t>In health and care, the early effect is likely to be administrative rather than clinical. In retail, likely early pressure points are customer service, returns, pricing and product data. In hospitality, the first changes are likely in reservations, call handling, channel management and planning.</w:t>
      </w:r>
    </w:p>
    <w:p w14:paraId="018CD621" w14:textId="77777777" w:rsidR="00B35D0B" w:rsidRPr="004A0A41" w:rsidRDefault="00000000">
      <w:pPr>
        <w:spacing w:after="140" w:line="274" w:lineRule="auto"/>
        <w:rPr>
          <w:sz w:val="22"/>
        </w:rPr>
      </w:pPr>
      <w:r w:rsidRPr="004A0A41">
        <w:rPr>
          <w:sz w:val="22"/>
        </w:rPr>
        <w:t>Norfolk also has a relatively high part-time share at 34.8% of employee jobs, versus 30.8% for Great Britain. That means even modest automation of booking, rota-building, customer contact and routine admin could ripple quickly through the county's shift-based service economy.</w:t>
      </w:r>
    </w:p>
    <w:p w14:paraId="12FF5B60"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a board would help</w:t>
      </w:r>
    </w:p>
    <w:p w14:paraId="69612BDE" w14:textId="059D6AA2" w:rsidR="00B35D0B" w:rsidRPr="004A0A41" w:rsidRDefault="00832315">
      <w:pPr>
        <w:spacing w:after="140" w:line="274" w:lineRule="auto"/>
        <w:rPr>
          <w:sz w:val="22"/>
        </w:rPr>
      </w:pPr>
      <w:r w:rsidRPr="004A0A41">
        <w:rPr>
          <w:sz w:val="22"/>
        </w:rPr>
        <w:t xml:space="preserve">In the agentic shift, there will be </w:t>
      </w:r>
      <w:r w:rsidR="004A0A41">
        <w:rPr>
          <w:sz w:val="22"/>
        </w:rPr>
        <w:t xml:space="preserve">both </w:t>
      </w:r>
      <w:r w:rsidR="00FA019D">
        <w:rPr>
          <w:sz w:val="22"/>
        </w:rPr>
        <w:t>possibilities</w:t>
      </w:r>
      <w:r w:rsidR="004A0A41">
        <w:rPr>
          <w:sz w:val="22"/>
        </w:rPr>
        <w:t xml:space="preserve"> </w:t>
      </w:r>
      <w:r w:rsidR="00E638BC" w:rsidRPr="004A0A41">
        <w:rPr>
          <w:sz w:val="22"/>
        </w:rPr>
        <w:t>and problems</w:t>
      </w:r>
      <w:r w:rsidRPr="004A0A41">
        <w:rPr>
          <w:sz w:val="22"/>
        </w:rPr>
        <w:t>.</w:t>
      </w:r>
      <w:r w:rsidR="00E638BC" w:rsidRPr="004A0A41">
        <w:rPr>
          <w:sz w:val="22"/>
        </w:rPr>
        <w:t xml:space="preserve"> </w:t>
      </w:r>
      <w:r w:rsidRPr="004A0A41">
        <w:rPr>
          <w:sz w:val="22"/>
        </w:rPr>
        <w:t>An AI Impact Board would give Norfolk a practical mechanism for staying ahead of these changes. Its purpose would not be to discuss AI in the abstract. It would be to track what is changing in real sectors, identify local opportunities, surface risks early, and help business and civic leaders respond in a coordinated way.</w:t>
      </w:r>
    </w:p>
    <w:p w14:paraId="07C581E4" w14:textId="77777777" w:rsidR="004A0A41" w:rsidRDefault="004A0A41">
      <w:pPr>
        <w:keepNext/>
        <w:spacing w:before="240" w:after="80" w:line="240" w:lineRule="auto"/>
        <w:rPr>
          <w:rFonts w:ascii="Aptos Display" w:eastAsia="Aptos Display" w:hAnsi="Aptos Display"/>
          <w:b/>
          <w:color w:val="000000" w:themeColor="text1"/>
          <w:sz w:val="30"/>
        </w:rPr>
      </w:pPr>
    </w:p>
    <w:p w14:paraId="4FDCDF9E" w14:textId="7520AB20"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What a board could do</w:t>
      </w:r>
    </w:p>
    <w:p w14:paraId="677B8B36" w14:textId="77777777" w:rsidR="00B35D0B" w:rsidRPr="004A0A41" w:rsidRDefault="00000000">
      <w:pPr>
        <w:pStyle w:val="ListBullet"/>
        <w:spacing w:after="120" w:line="269" w:lineRule="auto"/>
        <w:rPr>
          <w:sz w:val="20"/>
          <w:szCs w:val="20"/>
        </w:rPr>
      </w:pPr>
      <w:r w:rsidRPr="004A0A41">
        <w:rPr>
          <w:sz w:val="20"/>
          <w:szCs w:val="20"/>
        </w:rPr>
        <w:t>Monitor the impact of agentic AI on Norfolk’s major sectors and employers</w:t>
      </w:r>
    </w:p>
    <w:p w14:paraId="09987628" w14:textId="77777777" w:rsidR="00B35D0B" w:rsidRPr="004A0A41" w:rsidRDefault="00000000">
      <w:pPr>
        <w:pStyle w:val="ListBullet"/>
        <w:spacing w:after="120" w:line="269" w:lineRule="auto"/>
        <w:rPr>
          <w:sz w:val="20"/>
          <w:szCs w:val="20"/>
        </w:rPr>
      </w:pPr>
      <w:r w:rsidRPr="004A0A41">
        <w:rPr>
          <w:sz w:val="20"/>
          <w:szCs w:val="20"/>
        </w:rPr>
        <w:t>Identify early use cases that could raise local productivity and competitiveness</w:t>
      </w:r>
    </w:p>
    <w:p w14:paraId="38F98059" w14:textId="77777777" w:rsidR="00B35D0B" w:rsidRPr="004A0A41" w:rsidRDefault="00000000">
      <w:pPr>
        <w:pStyle w:val="ListBullet"/>
        <w:spacing w:after="120" w:line="269" w:lineRule="auto"/>
        <w:rPr>
          <w:sz w:val="20"/>
          <w:szCs w:val="20"/>
        </w:rPr>
      </w:pPr>
      <w:r w:rsidRPr="004A0A41">
        <w:rPr>
          <w:sz w:val="20"/>
          <w:szCs w:val="20"/>
        </w:rPr>
        <w:t>Assess workforce, skills and education implications</w:t>
      </w:r>
    </w:p>
    <w:p w14:paraId="56BDA96D" w14:textId="0E8F4C97" w:rsidR="00B35D0B" w:rsidRPr="004A0A41" w:rsidRDefault="00000000">
      <w:pPr>
        <w:pStyle w:val="ListBullet"/>
        <w:spacing w:after="120" w:line="269" w:lineRule="auto"/>
        <w:rPr>
          <w:sz w:val="20"/>
          <w:szCs w:val="20"/>
        </w:rPr>
      </w:pPr>
      <w:r w:rsidRPr="004A0A41">
        <w:rPr>
          <w:sz w:val="20"/>
          <w:szCs w:val="20"/>
        </w:rPr>
        <w:t>Advise on governance, security and responsible adoption</w:t>
      </w:r>
    </w:p>
    <w:p w14:paraId="4519A54C" w14:textId="77777777" w:rsidR="00B35D0B" w:rsidRPr="004A0A41" w:rsidRDefault="00000000">
      <w:pPr>
        <w:pStyle w:val="ListBullet"/>
        <w:spacing w:after="120" w:line="269" w:lineRule="auto"/>
        <w:rPr>
          <w:sz w:val="20"/>
          <w:szCs w:val="20"/>
        </w:rPr>
      </w:pPr>
      <w:r w:rsidRPr="004A0A41">
        <w:rPr>
          <w:sz w:val="20"/>
          <w:szCs w:val="20"/>
        </w:rPr>
        <w:t>Help local leaders understand possible effects on business formation, commercial footprint and the local tax base</w:t>
      </w:r>
    </w:p>
    <w:p w14:paraId="03E72144" w14:textId="77777777" w:rsidR="00B35D0B" w:rsidRPr="004A0A41" w:rsidRDefault="00000000">
      <w:pPr>
        <w:pStyle w:val="ListBullet"/>
        <w:spacing w:after="120" w:line="269" w:lineRule="auto"/>
        <w:rPr>
          <w:sz w:val="20"/>
          <w:szCs w:val="20"/>
        </w:rPr>
      </w:pPr>
      <w:r w:rsidRPr="004A0A41">
        <w:rPr>
          <w:sz w:val="20"/>
          <w:szCs w:val="20"/>
        </w:rPr>
        <w:t>Build a shared Norfolk-level view of where support, experimentation or intervention may be needed</w:t>
      </w:r>
    </w:p>
    <w:p w14:paraId="54F3DA36"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Bottom line</w:t>
      </w:r>
    </w:p>
    <w:tbl>
      <w:tblPr>
        <w:tblW w:w="0" w:type="auto"/>
        <w:jc w:val="center"/>
        <w:tblLook w:val="04A0" w:firstRow="1" w:lastRow="0" w:firstColumn="1" w:lastColumn="0" w:noHBand="0" w:noVBand="1"/>
      </w:tblPr>
      <w:tblGrid>
        <w:gridCol w:w="9792"/>
      </w:tblGrid>
      <w:tr w:rsidR="00B35D0B" w14:paraId="6E4CD828" w14:textId="77777777">
        <w:trPr>
          <w:jc w:val="center"/>
        </w:trPr>
        <w:tc>
          <w:tcPr>
            <w:tcW w:w="9792" w:type="dxa"/>
            <w:shd w:val="clear" w:color="auto" w:fill="F4F6F8"/>
            <w:tcMar>
              <w:top w:w="110" w:type="dxa"/>
              <w:left w:w="130" w:type="dxa"/>
              <w:bottom w:w="110" w:type="dxa"/>
              <w:right w:w="130" w:type="dxa"/>
            </w:tcMar>
          </w:tcPr>
          <w:p w14:paraId="2A071F69" w14:textId="77777777" w:rsidR="00B35D0B" w:rsidRDefault="00000000">
            <w:pPr>
              <w:spacing w:after="0" w:line="264" w:lineRule="auto"/>
            </w:pPr>
            <w:r>
              <w:rPr>
                <w:b/>
              </w:rPr>
              <w:t>The question is no longer whether AI will affect Norfolk. It is whether Norfolk wants to face the next phase passively, or with a serious mechanism for understanding and shaping it. An AI Impact Board would be a modest step, but a timely one.</w:t>
            </w:r>
          </w:p>
        </w:tc>
      </w:tr>
    </w:tbl>
    <w:p w14:paraId="150D6EA5" w14:textId="77777777" w:rsidR="00B35D0B" w:rsidRDefault="00000000">
      <w:pPr>
        <w:keepNext/>
        <w:spacing w:before="240" w:after="80" w:line="240" w:lineRule="auto"/>
      </w:pPr>
      <w:r>
        <w:rPr>
          <w:rFonts w:ascii="Aptos Display" w:eastAsia="Aptos Display" w:hAnsi="Aptos Display"/>
          <w:b/>
          <w:color w:val="243E62"/>
          <w:sz w:val="30"/>
        </w:rPr>
        <w:t>Signals</w:t>
      </w:r>
    </w:p>
    <w:p w14:paraId="3F5A6A03" w14:textId="77777777" w:rsidR="00B35D0B" w:rsidRDefault="00000000">
      <w:pPr>
        <w:pStyle w:val="ListBullet"/>
        <w:spacing w:after="20" w:line="269" w:lineRule="auto"/>
      </w:pPr>
      <w:r>
        <w:rPr>
          <w:b/>
        </w:rPr>
        <w:t xml:space="preserve">What OpenClaw is. </w:t>
      </w:r>
      <w:r>
        <w:t>VentureBeat describes OpenClaw as an AI harness that lets leading models use tools and act across software and the internet, marking a shift from chatbot AI to more executable systems.</w:t>
      </w:r>
    </w:p>
    <w:p w14:paraId="174201C2" w14:textId="2A70F63C" w:rsidR="00832315" w:rsidRDefault="00832315">
      <w:pPr>
        <w:spacing w:after="0"/>
        <w:ind w:left="720"/>
      </w:pPr>
      <w:r>
        <w:t>VentureBeat: What the OpenClaw moment means for enterprises: 5 big takeaways</w:t>
      </w:r>
    </w:p>
    <w:p w14:paraId="7B3C0143" w14:textId="77777777" w:rsidR="00B35D0B" w:rsidRDefault="00000000">
      <w:pPr>
        <w:pStyle w:val="ListBullet"/>
        <w:spacing w:after="20" w:line="269" w:lineRule="auto"/>
      </w:pPr>
      <w:r>
        <w:rPr>
          <w:b/>
        </w:rPr>
        <w:t xml:space="preserve">Coding agents are starting to flood GitHub. </w:t>
      </w:r>
      <w:r>
        <w:t>GitHub is reportedly racing to scale after AI agents drove a sharp rise in code commits and pull requests, suggesting software production is becoming agentic.</w:t>
      </w:r>
    </w:p>
    <w:p w14:paraId="48095689" w14:textId="77777777" w:rsidR="00B35D0B" w:rsidRDefault="00B35D0B">
      <w:pPr>
        <w:spacing w:after="0"/>
        <w:ind w:left="720"/>
      </w:pPr>
      <w:hyperlink r:id="rId6">
        <w:r>
          <w:rPr>
            <w:color w:val="0563C1"/>
            <w:u w:val="single"/>
          </w:rPr>
          <w:t>The Information: Microsoft’s GitHub Sees Booming Traffic and Outages as AI Agents Flood Platform</w:t>
        </w:r>
      </w:hyperlink>
    </w:p>
    <w:p w14:paraId="29498E87" w14:textId="77777777" w:rsidR="00B35D0B" w:rsidRDefault="00000000">
      <w:pPr>
        <w:pStyle w:val="ListBullet"/>
        <w:spacing w:after="20" w:line="269" w:lineRule="auto"/>
      </w:pPr>
      <w:r>
        <w:rPr>
          <w:b/>
        </w:rPr>
        <w:t xml:space="preserve">The agentic tooling layer is exploding. </w:t>
      </w:r>
      <w:r>
        <w:t>Reuters reported that OpenClaw passed 100,000 GitHub stars after launching in November and drew 2 million visitors in a single week, a sign of unusually rapid open-source uptake around agentic tools.</w:t>
      </w:r>
    </w:p>
    <w:p w14:paraId="05ED92D5" w14:textId="77777777" w:rsidR="00B35D0B" w:rsidRDefault="00B35D0B">
      <w:pPr>
        <w:spacing w:after="0"/>
        <w:ind w:left="720"/>
      </w:pPr>
      <w:hyperlink r:id="rId7">
        <w:r>
          <w:rPr>
            <w:color w:val="0563C1"/>
            <w:u w:val="single"/>
          </w:rPr>
          <w:t>Reuters: OpenClaw founder Stein</w:t>
        </w:r>
        <w:r>
          <w:rPr>
            <w:color w:val="0563C1"/>
            <w:u w:val="single"/>
          </w:rPr>
          <w:t>b</w:t>
        </w:r>
        <w:r>
          <w:rPr>
            <w:color w:val="0563C1"/>
            <w:u w:val="single"/>
          </w:rPr>
          <w:t>erger joins OpenAI, open-source bot becomes foundation</w:t>
        </w:r>
      </w:hyperlink>
    </w:p>
    <w:p w14:paraId="654566BC" w14:textId="3B978E2E" w:rsidR="00B35D0B" w:rsidRDefault="00B35D0B">
      <w:pPr>
        <w:spacing w:after="0" w:line="20" w:lineRule="exact"/>
      </w:pPr>
    </w:p>
    <w:sectPr w:rsidR="00B35D0B"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16974">
    <w:abstractNumId w:val="8"/>
  </w:num>
  <w:num w:numId="2" w16cid:durableId="2056656083">
    <w:abstractNumId w:val="6"/>
  </w:num>
  <w:num w:numId="3" w16cid:durableId="1001278597">
    <w:abstractNumId w:val="5"/>
  </w:num>
  <w:num w:numId="4" w16cid:durableId="1755468321">
    <w:abstractNumId w:val="4"/>
  </w:num>
  <w:num w:numId="5" w16cid:durableId="1716470859">
    <w:abstractNumId w:val="7"/>
  </w:num>
  <w:num w:numId="6" w16cid:durableId="994335998">
    <w:abstractNumId w:val="3"/>
  </w:num>
  <w:num w:numId="7" w16cid:durableId="375205262">
    <w:abstractNumId w:val="2"/>
  </w:num>
  <w:num w:numId="8" w16cid:durableId="1383746142">
    <w:abstractNumId w:val="1"/>
  </w:num>
  <w:num w:numId="9" w16cid:durableId="103319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A41"/>
    <w:rsid w:val="005E36BA"/>
    <w:rsid w:val="006D64BE"/>
    <w:rsid w:val="00832315"/>
    <w:rsid w:val="00A81C65"/>
    <w:rsid w:val="00AA1D8D"/>
    <w:rsid w:val="00B35D0B"/>
    <w:rsid w:val="00B47730"/>
    <w:rsid w:val="00CB0664"/>
    <w:rsid w:val="00D006B0"/>
    <w:rsid w:val="00D8336D"/>
    <w:rsid w:val="00E638BC"/>
    <w:rsid w:val="00EC2C38"/>
    <w:rsid w:val="00FA0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04CA3"/>
  <w14:defaultImageDpi w14:val="300"/>
  <w15:docId w15:val="{B2F5D6EF-EAFD-0948-86DF-25C739D0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uters.com/business/openclaw-founder-steinberger-joins-openai-open-source-bot-becomes-foundation-2026-02-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information.com/newsletters/applied-ai/microsofts-github-sees-booming-traffic-outages-ai-agents-flood-platfor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1064</Words>
  <Characters>5888</Characters>
  <Application>Microsoft Office Word</Application>
  <DocSecurity>0</DocSecurity>
  <Lines>98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Hussey</cp:lastModifiedBy>
  <cp:revision>2</cp:revision>
  <dcterms:created xsi:type="dcterms:W3CDTF">2026-04-09T18:58:00Z</dcterms:created>
  <dcterms:modified xsi:type="dcterms:W3CDTF">2026-04-09T18:58:00Z</dcterms:modified>
  <cp:category/>
</cp:coreProperties>
</file>