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江湖令 V1 上线所需资质与合规实施清单</w:t>
      </w:r>
    </w:p>
    <w:p>
      <w:r>
        <w:rPr>
          <w:rFonts w:ascii="微软雅黑" w:hAnsi="微软雅黑"/>
          <w:b/>
          <w:sz w:val="22"/>
        </w:rPr>
        <w:t>版本：V1.1（按当前项目实现修订）  |  更新日期：2026-08-08</w:t>
      </w:r>
    </w:p>
    <w:p>
      <w:r>
        <w:rPr>
          <w:rFonts w:ascii="微软雅黑" w:hAnsi="微软雅黑"/>
          <w:b w:val="0"/>
          <w:sz w:val="22"/>
        </w:rPr>
        <w:t>说明：本文以仓库实现与已确认产品决策为准，校正 V1.0 中与项目不符之处；用于合规/上线讨论。不反向改写 docs/requirements.md；功能需求仍以 requirements 为准。法律草稿见 docs/legal/。</w:t>
      </w:r>
    </w:p>
    <w:p>
      <w:pPr>
        <w:pStyle w:val="Heading1"/>
      </w:pPr>
      <w:r>
        <w:t>一、项目统一定位（与现状一致）</w:t>
      </w:r>
    </w:p>
    <w:p>
      <w:r>
        <w:rPr>
          <w:rFonts w:ascii="微软雅黑" w:hAnsi="微软雅黑"/>
          <w:b w:val="0"/>
          <w:sz w:val="22"/>
        </w:rPr>
        <w:t>江湖令是互联网平台型产品（非论坛、非传统中介、非普通跑腿）：</w:t>
      </w:r>
    </w:p>
    <w:p>
      <w:pPr>
        <w:pStyle w:val="ListBullet"/>
      </w:pPr>
      <w:r>
        <w:rPr>
          <w:rFonts w:ascii="微软雅黑" w:hAnsi="微软雅黑"/>
          <w:sz w:val="22"/>
        </w:rPr>
        <w:t>用户（令主）发布租房相关悬赏任务 → 其他用户（侠士）揭榜 → 协作完成 → 成果审核/验收 → 赏银分配 → 侠义值与声望成长</w:t>
      </w:r>
    </w:p>
    <w:p>
      <w:pPr>
        <w:pStyle w:val="ListBullet"/>
      </w:pPr>
      <w:r>
        <w:rPr>
          <w:rFonts w:ascii="微软雅黑" w:hAnsi="微软雅黑"/>
          <w:sz w:val="22"/>
        </w:rPr>
        <w:t>MVP 聚焦：遵义单城试点 · 租房/出租/转租悬赏 · Web 响应式</w:t>
      </w:r>
    </w:p>
    <w:p>
      <w:pPr>
        <w:pStyle w:val="ListBullet"/>
      </w:pPr>
      <w:r>
        <w:rPr>
          <w:rFonts w:ascii="微软雅黑" w:hAnsi="微软雅黑"/>
          <w:sz w:val="22"/>
        </w:rPr>
        <w:t>准入：邀请制注册（无公开自助注册）</w:t>
      </w:r>
    </w:p>
    <w:p>
      <w:pPr>
        <w:pStyle w:val="ListBullet"/>
      </w:pPr>
      <w:r>
        <w:rPr>
          <w:rFonts w:ascii="微软雅黑" w:hAnsi="微软雅黑"/>
          <w:sz w:val="22"/>
        </w:rPr>
        <w:t>端形态：仅 Web；小程序/App 不在当前范围</w:t>
      </w:r>
    </w:p>
    <w:p>
      <w:r>
        <w:rPr>
          <w:rFonts w:ascii="微软雅黑" w:hAnsi="微软雅黑"/>
          <w:b w:val="0"/>
          <w:sz w:val="22"/>
        </w:rPr>
        <w:t>后续除非业务模式发生重大变化（金融、直播带货、自营电商、招聘/网约等），均以「悬赏协作平台」为统一方向，不重复改变定位。</w:t>
      </w:r>
    </w:p>
    <w:p>
      <w:pPr>
        <w:pStyle w:val="Heading1"/>
      </w:pPr>
      <w:r>
        <w:t>二、当前阶段划分（V1.0 未区分，现予补齐）</w:t>
      </w:r>
    </w:p>
    <w:p>
      <w:pPr>
        <w:pStyle w:val="ListBullet"/>
      </w:pPr>
      <w:r>
        <w:rPr>
          <w:rFonts w:ascii="微软雅黑" w:hAnsi="微软雅黑"/>
          <w:sz w:val="22"/>
        </w:rPr>
        <w:t>阶段 A · 邀请制内测/试点（当前）：模拟银两钱庄；用户充值/提现入口隐藏；可用已部署域名做封闭内测；不宣称「已合规完备」</w:t>
      </w:r>
    </w:p>
    <w:p>
      <w:pPr>
        <w:pStyle w:val="ListBullet"/>
      </w:pPr>
      <w:r>
        <w:rPr>
          <w:rFonts w:ascii="微软雅黑" w:hAnsi="微软雅黑"/>
          <w:sz w:val="22"/>
        </w:rPr>
        <w:t>阶段 B · 正式对外上线：完成主体与备案、规则齐全、内容审核与举报申诉闭环、合规支付评估/接入后再开放公网</w:t>
      </w:r>
    </w:p>
    <w:p>
      <w:r>
        <w:rPr>
          <w:rFonts w:ascii="微软雅黑" w:hAnsi="微软雅黑"/>
          <w:b w:val="0"/>
          <w:sz w:val="22"/>
        </w:rPr>
        <w:t>下列「必须」项以阶段 B 为准；阶段 A 已具备项单独标注「内测已覆盖」。</w:t>
      </w:r>
    </w:p>
    <w:p>
      <w:pPr>
        <w:pStyle w:val="Heading1"/>
      </w:pPr>
      <w:r>
        <w:t>三、公司主体建议</w:t>
      </w:r>
    </w:p>
    <w:p>
      <w:pPr>
        <w:pStyle w:val="ListBullet"/>
      </w:pPr>
      <w:r>
        <w:rPr>
          <w:rFonts w:ascii="微软雅黑" w:hAnsi="微软雅黑"/>
          <w:sz w:val="22"/>
        </w:rPr>
        <w:t>建议注册有限责任公司；字号方向：XX网络科技有限公司（正式名称待运营确认）</w:t>
      </w:r>
    </w:p>
    <w:p>
      <w:pPr>
        <w:pStyle w:val="ListBullet"/>
      </w:pPr>
      <w:r>
        <w:rPr>
          <w:rFonts w:ascii="微软雅黑" w:hAnsi="微软雅黑"/>
          <w:sz w:val="22"/>
        </w:rPr>
        <w:t>经营范围重点：软件开发、信息技术咨询、互联网信息服务、技术开发/转让/推广、网络与信息安全软件、广告、市场营销策划、企业管理咨询、互联网销售等（以当地市场监管部门标准表述为准）</w:t>
      </w:r>
    </w:p>
    <w:p>
      <w:pPr>
        <w:pStyle w:val="ListBullet"/>
      </w:pPr>
      <w:r>
        <w:rPr>
          <w:rFonts w:ascii="微软雅黑" w:hAnsi="微软雅黑"/>
          <w:sz w:val="22"/>
        </w:rPr>
        <w:t>状态：主体尚未在本文锁定 → 正式上线阻塞项</w:t>
      </w:r>
    </w:p>
    <w:p>
      <w:pPr>
        <w:pStyle w:val="Heading1"/>
      </w:pPr>
      <w:r>
        <w:t>四、上线资质清单（修订）</w:t>
      </w:r>
    </w:p>
    <w:p>
      <w:pPr>
        <w:pStyle w:val="Heading2"/>
      </w:pPr>
      <w:r>
        <w:t>4.1 必须（正式对外）</w:t>
      </w:r>
    </w:p>
    <w:p>
      <w:pPr>
        <w:pStyle w:val="ListBullet"/>
      </w:pPr>
      <w:r>
        <w:rPr>
          <w:rFonts w:ascii="微软雅黑" w:hAnsi="微软雅黑"/>
          <w:sz w:val="22"/>
        </w:rPr>
        <w:t>营业执照</w:t>
      </w:r>
    </w:p>
    <w:p>
      <w:pPr>
        <w:pStyle w:val="ListBullet"/>
      </w:pPr>
      <w:r>
        <w:rPr>
          <w:rFonts w:ascii="微软雅黑" w:hAnsi="微软雅黑"/>
          <w:sz w:val="22"/>
        </w:rPr>
        <w:t>对公账户与税务事项</w:t>
      </w:r>
    </w:p>
    <w:p>
      <w:pPr>
        <w:pStyle w:val="ListBullet"/>
      </w:pPr>
      <w:r>
        <w:rPr>
          <w:rFonts w:ascii="微软雅黑" w:hAnsi="微软雅黑"/>
          <w:sz w:val="22"/>
        </w:rPr>
        <w:t>域名注册（内测可用，正式须完成备案链路）</w:t>
      </w:r>
    </w:p>
    <w:p>
      <w:pPr>
        <w:pStyle w:val="ListBullet"/>
      </w:pPr>
      <w:r>
        <w:rPr>
          <w:rFonts w:ascii="微软雅黑" w:hAnsi="微软雅黑"/>
          <w:sz w:val="22"/>
        </w:rPr>
        <w:t>ICP 备案</w:t>
      </w:r>
    </w:p>
    <w:p>
      <w:pPr>
        <w:pStyle w:val="ListBullet"/>
      </w:pPr>
      <w:r>
        <w:rPr>
          <w:rFonts w:ascii="微软雅黑" w:hAnsi="微软雅黑"/>
          <w:sz w:val="22"/>
        </w:rPr>
        <w:t>公安联网备案</w:t>
      </w:r>
    </w:p>
    <w:p>
      <w:pPr>
        <w:pStyle w:val="ListBullet"/>
      </w:pPr>
      <w:r>
        <w:rPr>
          <w:rFonts w:ascii="微软雅黑" w:hAnsi="微软雅黑"/>
          <w:sz w:val="22"/>
        </w:rPr>
        <w:t>用户服务协议（站内可读；草稿已在 docs/legal/user-agreement.md，主体信息待替换）</w:t>
      </w:r>
    </w:p>
    <w:p>
      <w:pPr>
        <w:pStyle w:val="ListBullet"/>
      </w:pPr>
      <w:r>
        <w:rPr>
          <w:rFonts w:ascii="微软雅黑" w:hAnsi="微软雅黑"/>
          <w:sz w:val="22"/>
        </w:rPr>
        <w:t>隐私政策（站内可读；草稿已在 docs/legal/privacy-policy.md）</w:t>
      </w:r>
    </w:p>
    <w:p>
      <w:pPr>
        <w:pStyle w:val="ListBullet"/>
      </w:pPr>
      <w:r>
        <w:rPr>
          <w:rFonts w:ascii="微软雅黑" w:hAnsi="微软雅黑"/>
          <w:sz w:val="22"/>
        </w:rPr>
        <w:t>悬赏任务规则（发令/揭榜/验收/分配/取消/退款/纠纷；告示栏可承载，须形成正式可引用文本）</w:t>
      </w:r>
    </w:p>
    <w:p>
      <w:pPr>
        <w:pStyle w:val="ListBullet"/>
      </w:pPr>
      <w:r>
        <w:rPr>
          <w:rFonts w:ascii="微软雅黑" w:hAnsi="微软雅黑"/>
          <w:sz w:val="22"/>
        </w:rPr>
        <w:t>用户行为规范（禁止诈骗、赌博、色情、违法交易、黑产、攻击、侵犯隐私等）</w:t>
      </w:r>
    </w:p>
    <w:p>
      <w:pPr>
        <w:pStyle w:val="ListBullet"/>
      </w:pPr>
      <w:r>
        <w:rPr>
          <w:rFonts w:ascii="微软雅黑" w:hAnsi="微软雅黑"/>
          <w:sz w:val="22"/>
        </w:rPr>
        <w:t>举报与申诉机制（举报→审核→处理→申诉→复核；当前有纠纷/用户反馈，独立举报申诉闭环待补强）</w:t>
      </w:r>
    </w:p>
    <w:p>
      <w:pPr>
        <w:pStyle w:val="ListBullet"/>
      </w:pPr>
      <w:r>
        <w:rPr>
          <w:rFonts w:ascii="微软雅黑" w:hAnsi="微软雅黑"/>
          <w:sz w:val="22"/>
        </w:rPr>
        <w:t>内容审核机制（发令审核+成果审核+后台强制关闭已覆盖主干；敏感词/专项机审待补强）</w:t>
      </w:r>
    </w:p>
    <w:p>
      <w:pPr>
        <w:pStyle w:val="Heading2"/>
      </w:pPr>
      <w:r>
        <w:t>4.2 重点评估（正式对外前）</w:t>
      </w:r>
    </w:p>
    <w:p>
      <w:pPr>
        <w:pStyle w:val="ListBullet"/>
      </w:pPr>
      <w:r>
        <w:rPr>
          <w:rFonts w:ascii="微软雅黑" w:hAnsi="微软雅黑"/>
          <w:sz w:val="22"/>
        </w:rPr>
        <w:t>ICP 经营许可证：平台含用户发布信息与任务撮合，应按经营性互联网信息服务方向评估</w:t>
      </w:r>
    </w:p>
    <w:p>
      <w:pPr>
        <w:pStyle w:val="ListBullet"/>
      </w:pPr>
      <w:r>
        <w:rPr>
          <w:rFonts w:ascii="微软雅黑" w:hAnsi="微软雅黑"/>
          <w:sz w:val="22"/>
        </w:rPr>
        <w:t>EDI 许可证：若未来形成完整在线交易订单并由平台处理交易资金流，再评估；当前内测为模拟结算，不视为已具备 EDI 条件</w:t>
      </w:r>
    </w:p>
    <w:p>
      <w:pPr>
        <w:pStyle w:val="Heading2"/>
      </w:pPr>
      <w:r>
        <w:t>4.3 内测已覆盖（不等于资质完成）</w:t>
      </w:r>
    </w:p>
    <w:p>
      <w:pPr>
        <w:pStyle w:val="ListBullet"/>
      </w:pPr>
      <w:r>
        <w:rPr>
          <w:rFonts w:ascii="微软雅黑" w:hAnsi="微软雅黑"/>
          <w:sz w:val="22"/>
        </w:rPr>
        <w:t>域名与 HTTPS 访问能力（示例：jianghu.kssrol.com，以实际部署为准）</w:t>
      </w:r>
    </w:p>
    <w:p>
      <w:pPr>
        <w:pStyle w:val="ListBullet"/>
      </w:pPr>
      <w:r>
        <w:rPr>
          <w:rFonts w:ascii="微软雅黑" w:hAnsi="微软雅黑"/>
          <w:sz w:val="22"/>
        </w:rPr>
        <w:t>用户协议/隐私政策页面与注册勾选同意</w:t>
      </w:r>
    </w:p>
    <w:p>
      <w:pPr>
        <w:pStyle w:val="ListBullet"/>
      </w:pPr>
      <w:r>
        <w:rPr>
          <w:rFonts w:ascii="微软雅黑" w:hAnsi="微软雅黑"/>
          <w:sz w:val="22"/>
        </w:rPr>
        <w:t>发令/成果双审核、武林盟后台运营能力</w:t>
      </w:r>
    </w:p>
    <w:p>
      <w:pPr>
        <w:pStyle w:val="Heading1"/>
      </w:pPr>
      <w:r>
        <w:t>五、统一资金方案（重要校正）</w:t>
      </w:r>
    </w:p>
    <w:p>
      <w:r>
        <w:rPr>
          <w:rFonts w:ascii="微软雅黑" w:hAnsi="微软雅黑"/>
          <w:b/>
          <w:sz w:val="22"/>
        </w:rPr>
        <w:t>V1.0 原文写「不建议自建钱包、不要用户充值→平台余额→提现」。与当前产品决策对照后裁定如下：</w:t>
      </w:r>
    </w:p>
    <w:p>
      <w:pPr>
        <w:pStyle w:val="Heading2"/>
      </w:pPr>
      <w:r>
        <w:t>5.1 当前实现（阶段 A · 必须如实描述）</w:t>
      </w:r>
    </w:p>
    <w:p>
      <w:pPr>
        <w:pStyle w:val="ListBullet"/>
      </w:pPr>
      <w:r>
        <w:rPr>
          <w:rFonts w:ascii="微软雅黑" w:hAnsi="微软雅黑"/>
          <w:sz w:val="22"/>
        </w:rPr>
        <w:t>已实现「模拟钱庄」：余额/冻结/流水、悬赏托管与结算、注册赠银、邀新奖励、管理员调账</w:t>
      </w:r>
    </w:p>
    <w:p>
      <w:pPr>
        <w:pStyle w:val="ListBullet"/>
      </w:pPr>
      <w:r>
        <w:rPr>
          <w:rFonts w:ascii="微软雅黑" w:hAnsi="微软雅黑"/>
          <w:sz w:val="22"/>
        </w:rPr>
        <w:t>用户侧充值/提现入口默认隐藏（配置可关）；不接微信支付/支付宝等真实通道</w:t>
      </w:r>
    </w:p>
    <w:p>
      <w:pPr>
        <w:pStyle w:val="ListBullet"/>
      </w:pPr>
      <w:r>
        <w:rPr>
          <w:rFonts w:ascii="微软雅黑" w:hAnsi="微软雅黑"/>
          <w:sz w:val="22"/>
        </w:rPr>
        <w:t>界面与协议须持续明示：银两为模拟记账，非法定货币，不可兑付人民币</w:t>
      </w:r>
    </w:p>
    <w:p>
      <w:pPr>
        <w:pStyle w:val="Heading2"/>
      </w:pPr>
      <w:r>
        <w:t>5.2 正式上线（阶段 B · 资金原则）</w:t>
      </w:r>
    </w:p>
    <w:p>
      <w:pPr>
        <w:pStyle w:val="ListBullet"/>
      </w:pPr>
      <w:r>
        <w:rPr>
          <w:rFonts w:ascii="微软雅黑" w:hAnsi="微软雅黑"/>
          <w:sz w:val="22"/>
        </w:rPr>
        <w:t>不得在未完成合规评估前，对公网用户开放真实充值提现，或宣称可兑人民币</w:t>
      </w:r>
    </w:p>
    <w:p>
      <w:pPr>
        <w:pStyle w:val="ListBullet"/>
      </w:pPr>
      <w:r>
        <w:rPr>
          <w:rFonts w:ascii="微软雅黑" w:hAnsi="微软雅黑"/>
          <w:sz w:val="22"/>
        </w:rPr>
        <w:t>不建议长期以「用户充值→平台自管余额→平台提现」作为对外主路径</w:t>
      </w:r>
    </w:p>
    <w:p>
      <w:pPr>
        <w:pStyle w:val="ListBullet"/>
      </w:pPr>
      <w:r>
        <w:rPr>
          <w:rFonts w:ascii="微软雅黑" w:hAnsi="微软雅黑"/>
          <w:sz w:val="22"/>
        </w:rPr>
        <w:t>推荐方向：发令时由合规第三方支付确认 → 任务完成/验收 → 结算；平台主责悬赏状态、验收状态、结算记录</w:t>
      </w:r>
    </w:p>
    <w:p>
      <w:pPr>
        <w:pStyle w:val="ListBullet"/>
      </w:pPr>
      <w:r>
        <w:rPr>
          <w:rFonts w:ascii="微软雅黑" w:hAnsi="微软雅黑"/>
          <w:sz w:val="22"/>
        </w:rPr>
        <w:t>从模拟钱庄切换到真实支付时，须单独做方案、协议修订与验收（产品/架构/法务）</w:t>
      </w:r>
    </w:p>
    <w:p>
      <w:pPr>
        <w:pStyle w:val="Heading1"/>
      </w:pPr>
      <w:r>
        <w:t>六、平台规则体系</w:t>
      </w:r>
    </w:p>
    <w:p>
      <w:pPr>
        <w:pStyle w:val="ListBullet"/>
      </w:pPr>
      <w:r>
        <w:rPr>
          <w:rFonts w:ascii="微软雅黑" w:hAnsi="微软雅黑"/>
          <w:sz w:val="22"/>
        </w:rPr>
        <w:t>《江湖令用户服务协议》：账号、服务、违规、处罚、知识产权、争议处理 —— 草稿已有，主体信息待确认</w:t>
      </w:r>
    </w:p>
    <w:p>
      <w:pPr>
        <w:pStyle w:val="ListBullet"/>
      </w:pPr>
      <w:r>
        <w:rPr>
          <w:rFonts w:ascii="微软雅黑" w:hAnsi="微软雅黑"/>
          <w:sz w:val="22"/>
        </w:rPr>
        <w:t>《江湖令隐私政策》：收集、使用、保存、安全、用户权利 —— 草稿已有</w:t>
      </w:r>
    </w:p>
    <w:p>
      <w:pPr>
        <w:pStyle w:val="ListBullet"/>
      </w:pPr>
      <w:r>
        <w:rPr>
          <w:rFonts w:ascii="微软雅黑" w:hAnsi="微软雅黑"/>
          <w:sz w:val="22"/>
        </w:rPr>
        <w:t>《江湖令悬赏任务规则》：发布、揭榜、执行、验收、奖励、取消、退款、纠纷 —— 待整理成独立正式文（可与告示栏/需求对齐）</w:t>
      </w:r>
    </w:p>
    <w:p>
      <w:pPr>
        <w:pStyle w:val="ListBullet"/>
      </w:pPr>
      <w:r>
        <w:rPr>
          <w:rFonts w:ascii="微软雅黑" w:hAnsi="微软雅黑"/>
          <w:sz w:val="22"/>
        </w:rPr>
        <w:t>《江湖令用户行为规范》：禁止违法违规内容与行为 —— 待补正式文</w:t>
      </w:r>
    </w:p>
    <w:p>
      <w:pPr>
        <w:pStyle w:val="ListBullet"/>
      </w:pPr>
      <w:r>
        <w:rPr>
          <w:rFonts w:ascii="微软雅黑" w:hAnsi="微软雅黑"/>
          <w:sz w:val="22"/>
        </w:rPr>
        <w:t>《举报与申诉规则》：形成闭环 —— 待补；现有「纠纷仲裁」「用户反馈」可作过渡，不可替代正式机制</w:t>
      </w:r>
    </w:p>
    <w:p>
      <w:pPr>
        <w:pStyle w:val="Heading1"/>
      </w:pPr>
      <w:r>
        <w:t>七、实名认证与风控（与实现对齐）</w:t>
      </w:r>
    </w:p>
    <w:p>
      <w:pPr>
        <w:pStyle w:val="ListBullet"/>
      </w:pPr>
      <w:r>
        <w:rPr>
          <w:rFonts w:ascii="微软雅黑" w:hAnsi="微软雅黑"/>
          <w:sz w:val="22"/>
        </w:rPr>
        <w:t>注册：手机号 + 验证码或账号密码（内测验证码可为 Mock，生产须真实短信通道）</w:t>
      </w:r>
    </w:p>
    <w:p>
      <w:pPr>
        <w:pStyle w:val="ListBullet"/>
      </w:pPr>
      <w:r>
        <w:rPr>
          <w:rFonts w:ascii="微软雅黑" w:hAnsi="微软雅黑"/>
          <w:sz w:val="22"/>
        </w:rPr>
        <w:t>发令：当前不作实名硬门槛；后台可维护实名状态</w:t>
      </w:r>
    </w:p>
    <w:p>
      <w:pPr>
        <w:pStyle w:val="ListBullet"/>
      </w:pPr>
      <w:r>
        <w:rPr>
          <w:rFonts w:ascii="微软雅黑" w:hAnsi="微软雅黑"/>
          <w:sz w:val="22"/>
        </w:rPr>
        <w:t>正式上线建议分级：发令/高额 → 基础认证；高风险任务 → 增强认证；若开放提现 → 实名与支付账户一致性校验</w:t>
      </w:r>
    </w:p>
    <w:p>
      <w:pPr>
        <w:pStyle w:val="ListBullet"/>
      </w:pPr>
      <w:r>
        <w:rPr>
          <w:rFonts w:ascii="微软雅黑" w:hAnsi="微软雅黑"/>
          <w:sz w:val="22"/>
        </w:rPr>
        <w:t>原则：业务需要什么收集什么，不无必要收集敏感信息</w:t>
      </w:r>
    </w:p>
    <w:p>
      <w:pPr>
        <w:pStyle w:val="Heading1"/>
      </w:pPr>
      <w:r>
        <w:t>八、技术后台必须具备（对照武林盟后台现状）</w:t>
      </w:r>
    </w:p>
    <w:p>
      <w:r>
        <w:rPr>
          <w:rFonts w:ascii="微软雅黑" w:hAnsi="微软雅黑"/>
          <w:b w:val="0"/>
          <w:sz w:val="22"/>
        </w:rPr>
        <w:t>下列按「已有 / 部分 / 待补」标注：</w:t>
      </w:r>
    </w:p>
    <w:p>
      <w:pPr>
        <w:pStyle w:val="ListBullet"/>
      </w:pPr>
      <w:r>
        <w:rPr>
          <w:rFonts w:ascii="微软雅黑" w:hAnsi="微软雅黑"/>
          <w:sz w:val="22"/>
        </w:rPr>
        <w:t>用户管理（列表/详情、启停封禁解封、备注、调账、软删=禁用）—— 已有</w:t>
      </w:r>
    </w:p>
    <w:p>
      <w:pPr>
        <w:pStyle w:val="ListBullet"/>
      </w:pPr>
      <w:r>
        <w:rPr>
          <w:rFonts w:ascii="微软雅黑" w:hAnsi="微软雅黑"/>
          <w:sz w:val="22"/>
        </w:rPr>
        <w:t>实名认证管理 —— 已有（查看/改状态）</w:t>
      </w:r>
    </w:p>
    <w:p>
      <w:pPr>
        <w:pStyle w:val="ListBullet"/>
      </w:pPr>
      <w:r>
        <w:rPr>
          <w:rFonts w:ascii="微软雅黑" w:hAnsi="微软雅黑"/>
          <w:sz w:val="22"/>
        </w:rPr>
        <w:t>悬赏审核（发令审核）—— 已有（执事堂令审使 + Admin）</w:t>
      </w:r>
    </w:p>
    <w:p>
      <w:pPr>
        <w:pStyle w:val="ListBullet"/>
      </w:pPr>
      <w:r>
        <w:rPr>
          <w:rFonts w:ascii="微软雅黑" w:hAnsi="微软雅黑"/>
          <w:sz w:val="22"/>
        </w:rPr>
        <w:t>成果/内容审核 —— 已有（执事堂验功使 + /admin/submission-reviews）</w:t>
      </w:r>
    </w:p>
    <w:p>
      <w:pPr>
        <w:pStyle w:val="ListBullet"/>
      </w:pPr>
      <w:r>
        <w:rPr>
          <w:rFonts w:ascii="微软雅黑" w:hAnsi="微软雅黑"/>
          <w:sz w:val="22"/>
        </w:rPr>
        <w:t>订单纠纷处理 —— 已有（纠纷队列与结构化裁决）</w:t>
      </w:r>
    </w:p>
    <w:p>
      <w:pPr>
        <w:pStyle w:val="ListBullet"/>
      </w:pPr>
      <w:r>
        <w:rPr>
          <w:rFonts w:ascii="微软雅黑" w:hAnsi="微软雅黑"/>
          <w:sz w:val="22"/>
        </w:rPr>
        <w:t>用户反馈 —— 已有</w:t>
      </w:r>
    </w:p>
    <w:p>
      <w:pPr>
        <w:pStyle w:val="ListBullet"/>
      </w:pPr>
      <w:r>
        <w:rPr>
          <w:rFonts w:ascii="微软雅黑" w:hAnsi="微软雅黑"/>
          <w:sz w:val="22"/>
        </w:rPr>
        <w:t>支付及结算记录 —— 模拟流水已有；真实支付记录待接入后补</w:t>
      </w:r>
    </w:p>
    <w:p>
      <w:pPr>
        <w:pStyle w:val="ListBullet"/>
      </w:pPr>
      <w:r>
        <w:rPr>
          <w:rFonts w:ascii="微软雅黑" w:hAnsi="微软雅黑"/>
          <w:sz w:val="22"/>
        </w:rPr>
        <w:t>侠义值/资产异常处理（管理员调账+审计）—— 已有</w:t>
      </w:r>
    </w:p>
    <w:p>
      <w:pPr>
        <w:pStyle w:val="ListBullet"/>
      </w:pPr>
      <w:r>
        <w:rPr>
          <w:rFonts w:ascii="微软雅黑" w:hAnsi="微软雅黑"/>
          <w:sz w:val="22"/>
        </w:rPr>
        <w:t>操作审计日志 —— 已有（/admin/audit-logs）</w:t>
      </w:r>
    </w:p>
    <w:p>
      <w:pPr>
        <w:pStyle w:val="ListBullet"/>
      </w:pPr>
      <w:r>
        <w:rPr>
          <w:rFonts w:ascii="微软雅黑" w:hAnsi="微软雅黑"/>
          <w:sz w:val="22"/>
        </w:rPr>
        <w:t>登录日志 —— 已有</w:t>
      </w:r>
    </w:p>
    <w:p>
      <w:pPr>
        <w:pStyle w:val="ListBullet"/>
      </w:pPr>
      <w:r>
        <w:rPr>
          <w:rFonts w:ascii="微软雅黑" w:hAnsi="微软雅黑"/>
          <w:sz w:val="22"/>
        </w:rPr>
        <w:t>举报管理 / 申诉管理（独立）—— 待补强</w:t>
      </w:r>
    </w:p>
    <w:p>
      <w:pPr>
        <w:pStyle w:val="ListBullet"/>
      </w:pPr>
      <w:r>
        <w:rPr>
          <w:rFonts w:ascii="微软雅黑" w:hAnsi="微软雅黑"/>
          <w:sz w:val="22"/>
        </w:rPr>
        <w:t>敏感词管理 —— 待补</w:t>
      </w:r>
    </w:p>
    <w:p>
      <w:pPr>
        <w:pStyle w:val="ListBullet"/>
      </w:pPr>
      <w:r>
        <w:rPr>
          <w:rFonts w:ascii="微软雅黑" w:hAnsi="微软雅黑"/>
          <w:sz w:val="22"/>
        </w:rPr>
        <w:t>安全日志专项 —— 待补（可以后与运维日志体系合并）</w:t>
      </w:r>
    </w:p>
    <w:p>
      <w:pPr>
        <w:pStyle w:val="Heading1"/>
      </w:pPr>
      <w:r>
        <w:t>九、数据与部署现状（校正原「表清单」）</w:t>
      </w:r>
    </w:p>
    <w:p>
      <w:r>
        <w:rPr>
          <w:rFonts w:ascii="微软雅黑" w:hAnsi="微软雅黑"/>
          <w:b w:val="0"/>
          <w:sz w:val="22"/>
        </w:rPr>
        <w:t>V1.0 所列通用表名（users/payments/…）与本仓库不一致。以实际库为准：</w:t>
      </w:r>
    </w:p>
    <w:p>
      <w:pPr>
        <w:pStyle w:val="ListBullet"/>
      </w:pPr>
      <w:r>
        <w:rPr>
          <w:rFonts w:ascii="微软雅黑" w:hAnsi="微软雅黑"/>
          <w:sz w:val="22"/>
        </w:rPr>
        <w:t>初始化：手工执行 backend/.../db/schema.sql、data.sql 及所需 patch_*.sql；应用启动不会自动灌基础数据</w:t>
      </w:r>
    </w:p>
    <w:p>
      <w:pPr>
        <w:pStyle w:val="ListBullet"/>
      </w:pPr>
      <w:r>
        <w:rPr>
          <w:rFonts w:ascii="微软雅黑" w:hAnsi="微软雅黑"/>
          <w:sz w:val="22"/>
        </w:rPr>
        <w:t>核心域表示例：user / user_profile / wallet_* / bounty / bounty_claim / submission / submission_item / review_record / dispute / site_message / user_office / admin_* / sys_config / notice 等</w:t>
      </w:r>
    </w:p>
    <w:p>
      <w:pPr>
        <w:pStyle w:val="ListBullet"/>
      </w:pPr>
      <w:r>
        <w:rPr>
          <w:rFonts w:ascii="微软雅黑" w:hAnsi="微软雅黑"/>
          <w:sz w:val="22"/>
        </w:rPr>
        <w:t>部署：K8s 命名空间 jianghu-ling；独立 Redis；MySQL 可使用平台现有实例；Ingress + TLS（如 kssrol-com-tls）</w:t>
      </w:r>
    </w:p>
    <w:p>
      <w:pPr>
        <w:pStyle w:val="ListBullet"/>
      </w:pPr>
      <w:r>
        <w:rPr>
          <w:rFonts w:ascii="微软雅黑" w:hAnsi="微软雅黑"/>
          <w:sz w:val="22"/>
        </w:rPr>
        <w:t>生产配置：禁止长期使用 SPRING_PROFILES_ACTIVE=dev（避免 Mock 验证码与开发态管理员重置逻辑）</w:t>
      </w:r>
    </w:p>
    <w:p>
      <w:pPr>
        <w:pStyle w:val="Heading1"/>
      </w:pPr>
      <w:r>
        <w:t>十、商标规划</w:t>
      </w:r>
    </w:p>
    <w:p>
      <w:pPr>
        <w:pStyle w:val="ListBullet"/>
      </w:pPr>
      <w:r>
        <w:rPr>
          <w:rFonts w:ascii="微软雅黑" w:hAnsi="微软雅黑"/>
          <w:sz w:val="22"/>
        </w:rPr>
        <w:t>建议尽早申请：「江湖令」文字商标、Logo</w:t>
      </w:r>
    </w:p>
    <w:p>
      <w:pPr>
        <w:pStyle w:val="ListBullet"/>
      </w:pPr>
      <w:r>
        <w:rPr>
          <w:rFonts w:ascii="微软雅黑" w:hAnsi="微软雅黑"/>
          <w:sz w:val="22"/>
        </w:rPr>
        <w:t>重点考虑：第 9 类（软件）、第 35 类（商业服务）、第 38 类（通信）、第 42 类（技术服务）；以检索结果为准</w:t>
      </w:r>
    </w:p>
    <w:p>
      <w:pPr>
        <w:pStyle w:val="ListBullet"/>
      </w:pPr>
      <w:r>
        <w:rPr>
          <w:rFonts w:ascii="微软雅黑" w:hAnsi="微软雅黑"/>
          <w:sz w:val="22"/>
        </w:rPr>
        <w:t>状态：待运营启动</w:t>
      </w:r>
    </w:p>
    <w:p>
      <w:pPr>
        <w:pStyle w:val="Heading1"/>
      </w:pPr>
      <w:r>
        <w:t>十一、上线执行顺序（修订）</w:t>
      </w:r>
    </w:p>
    <w:p>
      <w:pPr>
        <w:pStyle w:val="Heading2"/>
      </w:pPr>
      <w:r>
        <w:t>11.1 内测可并行/已具备</w:t>
      </w:r>
    </w:p>
    <w:p>
      <w:pPr>
        <w:pStyle w:val="ListBullet"/>
      </w:pPr>
      <w:r>
        <w:rPr>
          <w:rFonts w:ascii="微软雅黑" w:hAnsi="微软雅黑"/>
          <w:sz w:val="22"/>
        </w:rPr>
        <w:t>产品功能闭环与武林盟后台主干</w:t>
      </w:r>
    </w:p>
    <w:p>
      <w:pPr>
        <w:pStyle w:val="ListBullet"/>
      </w:pPr>
      <w:r>
        <w:rPr>
          <w:rFonts w:ascii="微软雅黑" w:hAnsi="微软雅黑"/>
          <w:sz w:val="22"/>
        </w:rPr>
        <w:t>协议/隐私草稿上线展示与注册同意</w:t>
      </w:r>
    </w:p>
    <w:p>
      <w:pPr>
        <w:pStyle w:val="ListBullet"/>
      </w:pPr>
      <w:r>
        <w:rPr>
          <w:rFonts w:ascii="微软雅黑" w:hAnsi="微软雅黑"/>
          <w:sz w:val="22"/>
        </w:rPr>
        <w:t>域名解析、HTTPS、集群部署</w:t>
      </w:r>
    </w:p>
    <w:p>
      <w:pPr>
        <w:pStyle w:val="ListBullet"/>
      </w:pPr>
      <w:r>
        <w:rPr>
          <w:rFonts w:ascii="微软雅黑" w:hAnsi="微软雅黑"/>
          <w:sz w:val="22"/>
        </w:rPr>
        <w:t>模拟钱庄与邀请制封闭内测</w:t>
      </w:r>
    </w:p>
    <w:p>
      <w:pPr>
        <w:pStyle w:val="Heading2"/>
      </w:pPr>
      <w:r>
        <w:t>11.2 正式对外建议顺序</w:t>
      </w:r>
    </w:p>
    <w:p>
      <w:pPr>
        <w:pStyle w:val="ListBullet"/>
      </w:pPr>
      <w:r>
        <w:rPr>
          <w:rFonts w:ascii="微软雅黑" w:hAnsi="微软雅黑"/>
          <w:sz w:val="22"/>
        </w:rPr>
        <w:t>1. 注册公司  2. 对公账户  3. 税务事项  4. 域名与商标</w:t>
      </w:r>
    </w:p>
    <w:p>
      <w:pPr>
        <w:pStyle w:val="ListBullet"/>
      </w:pPr>
      <w:r>
        <w:rPr>
          <w:rFonts w:ascii="微软雅黑" w:hAnsi="微软雅黑"/>
          <w:sz w:val="22"/>
        </w:rPr>
        <w:t>5. ICP 备案  6. 公安联网备案  7. 评估 ICP 经营许可 / EDI</w:t>
      </w:r>
    </w:p>
    <w:p>
      <w:pPr>
        <w:pStyle w:val="ListBullet"/>
      </w:pPr>
      <w:r>
        <w:rPr>
          <w:rFonts w:ascii="微软雅黑" w:hAnsi="微软雅黑"/>
          <w:sz w:val="22"/>
        </w:rPr>
        <w:t>8. 完善悬赏规则/行为规范/举报申诉正式文并站内可查</w:t>
      </w:r>
    </w:p>
    <w:p>
      <w:pPr>
        <w:pStyle w:val="ListBullet"/>
      </w:pPr>
      <w:r>
        <w:rPr>
          <w:rFonts w:ascii="微软雅黑" w:hAnsi="微软雅黑"/>
          <w:sz w:val="22"/>
        </w:rPr>
        <w:t>9. 真实短信与实名能力加固  10. 内容审核补强（敏感词等）</w:t>
      </w:r>
    </w:p>
    <w:p>
      <w:pPr>
        <w:pStyle w:val="ListBullet"/>
      </w:pPr>
      <w:r>
        <w:rPr>
          <w:rFonts w:ascii="微软雅黑" w:hAnsi="微软雅黑"/>
          <w:sz w:val="22"/>
        </w:rPr>
        <w:t>11. 合规支付评估与接入  12. 安全测试  13. 正式上线</w:t>
      </w:r>
    </w:p>
    <w:p>
      <w:pPr>
        <w:pStyle w:val="Heading1"/>
      </w:pPr>
      <w:r>
        <w:t>十二、与 V1.0 的主要差异摘要</w:t>
      </w:r>
    </w:p>
    <w:p>
      <w:pPr>
        <w:pStyle w:val="ListBullet"/>
      </w:pPr>
      <w:r>
        <w:rPr>
          <w:rFonts w:ascii="微软雅黑" w:hAnsi="微软雅黑"/>
          <w:sz w:val="22"/>
        </w:rPr>
        <w:t>明确区分「内测」与「正式上线」，避免用正式资质标准否定当前内测交付</w:t>
      </w:r>
    </w:p>
    <w:p>
      <w:pPr>
        <w:pStyle w:val="ListBullet"/>
      </w:pPr>
      <w:r>
        <w:rPr>
          <w:rFonts w:ascii="微软雅黑" w:hAnsi="微软雅黑"/>
          <w:sz w:val="22"/>
        </w:rPr>
        <w:t>承认并规范「模拟钱庄」现状，同时坚持正式上线走合规支付评估，而非简单删除已实现能力</w:t>
      </w:r>
    </w:p>
    <w:p>
      <w:pPr>
        <w:pStyle w:val="ListBullet"/>
      </w:pPr>
      <w:r>
        <w:rPr>
          <w:rFonts w:ascii="微软雅黑" w:hAnsi="微软雅黑"/>
          <w:sz w:val="22"/>
        </w:rPr>
        <w:t>后台模块按武林盟实际能力勾选，删除过时「完全没有后台」假设</w:t>
      </w:r>
    </w:p>
    <w:p>
      <w:pPr>
        <w:pStyle w:val="ListBullet"/>
      </w:pPr>
      <w:r>
        <w:rPr>
          <w:rFonts w:ascii="微软雅黑" w:hAnsi="微软雅黑"/>
          <w:sz w:val="22"/>
        </w:rPr>
        <w:t>数据库表述改为指向本仓库真实 schema/补丁流程</w:t>
      </w:r>
    </w:p>
    <w:p>
      <w:pPr>
        <w:pStyle w:val="ListBullet"/>
      </w:pPr>
      <w:r>
        <w:rPr>
          <w:rFonts w:ascii="微软雅黑" w:hAnsi="微软雅黑"/>
          <w:sz w:val="22"/>
        </w:rPr>
        <w:t>补充部署与配置红线（dev profile、空库灌数）</w:t>
      </w:r>
    </w:p>
    <w:p>
      <w:pPr>
        <w:pStyle w:val="Heading1"/>
      </w:pPr>
      <w:r>
        <w:t>十三、统一建议声明</w:t>
      </w:r>
    </w:p>
    <w:p>
      <w:r>
        <w:rPr>
          <w:rFonts w:ascii="微软雅黑" w:hAnsi="微软雅黑"/>
          <w:b w:val="0"/>
          <w:sz w:val="22"/>
        </w:rPr>
        <w:t>本文作为江湖令项目合规与上线规划基准（V1.1）。除非发生自营商品交易、金融服务、直播、招聘、网约、大规模交易平台化等重大变化，公司定位、资质规划、正式资金原则、平台规则方向沿用本文，不因单次讨论反复改向。</w:t>
      </w:r>
    </w:p>
    <w:p>
      <w:r>
        <w:rPr>
          <w:rFonts w:ascii="微软雅黑" w:hAnsi="微软雅黑"/>
          <w:b w:val="0"/>
          <w:sz w:val="22"/>
        </w:rPr>
        <w:t>最终资质与许可范围以实际业务和主管部门审核结果为准。内测环境的存在不构成对外合规承诺。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