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江湖令 V1 上线所需资质与合规实施清单</w:t>
      </w:r>
    </w:p>
    <w:p>
      <w:pPr>
        <w:jc w:val="center"/>
      </w:pPr>
      <w:r>
        <w:t>统一规划版本（后续产品、技术、运营、合规讨论基准）</w:t>
      </w:r>
    </w:p>
    <w:p>
      <w:pPr>
        <w:pStyle w:val="Heading1"/>
      </w:pPr>
      <w:r>
        <w:t>一、项目统一定位</w:t>
      </w:r>
    </w:p>
    <w:p>
      <w:r>
        <w:t>江湖令定位为互联网平台型产品：</w:t>
        <w:br/>
        <w:t>用户发布悬赏任务 → 其他用户揭榜 → 完成任务 → 发布者验收 → 奖励分配 → 侠义值和信用体系。</w:t>
        <w:br/>
        <w:br/>
        <w:t>后续除非业务模式发生重大变化（例如金融、直播、电商、自营交易等），均以本文方案作为统一规划基准，不重复改变方向。</w:t>
      </w:r>
    </w:p>
    <w:p>
      <w:pPr>
        <w:pStyle w:val="Heading1"/>
      </w:pPr>
      <w:r>
        <w:t>二、公司主体建议</w:t>
      </w:r>
    </w:p>
    <w:p>
      <w:r>
        <w:t>建议注册：</w:t>
        <w:br/>
        <w:t>有限责任公司。</w:t>
        <w:br/>
        <w:br/>
        <w:t>公司名称方向：</w:t>
        <w:br/>
        <w:t>XX网络科技有限公司。</w:t>
        <w:br/>
        <w:br/>
        <w:t>经营范围重点包含：</w:t>
        <w:br/>
        <w:t>- 软件开发</w:t>
        <w:br/>
        <w:t>- 信息技术咨询服务</w:t>
        <w:br/>
        <w:t>- 互联网信息服务</w:t>
        <w:br/>
        <w:t>- 技术服务、技术开发、技术咨询、技术转让、技术推广</w:t>
        <w:br/>
        <w:t>- 软件销售</w:t>
        <w:br/>
        <w:t>- 网络与信息安全软件开发</w:t>
        <w:br/>
        <w:t>- 广告设计、代理、广告发布</w:t>
        <w:br/>
        <w:t>- 市场营销策划</w:t>
        <w:br/>
        <w:t>- 企业管理咨询</w:t>
        <w:br/>
        <w:t>- 互联网销售</w:t>
        <w:br/>
        <w:br/>
        <w:t>最终经营范围以当地市场监管部门标准经营范围为准。</w:t>
      </w:r>
    </w:p>
    <w:p>
      <w:pPr>
        <w:pStyle w:val="Heading1"/>
      </w:pPr>
      <w:r>
        <w:t>三、上线资质清单</w:t>
      </w:r>
    </w:p>
    <w:p>
      <w:r>
        <w:t>必须：</w:t>
        <w:br/>
        <w:t>1. 营业执照</w:t>
        <w:br/>
        <w:t>2. 对公账户</w:t>
        <w:br/>
        <w:t>3. 税务登记及相关事项</w:t>
        <w:br/>
        <w:t>4. 域名注册</w:t>
        <w:br/>
        <w:t>5. ICP备案</w:t>
        <w:br/>
        <w:t>6. 公安联网备案</w:t>
        <w:br/>
        <w:t>7. 用户协议</w:t>
        <w:br/>
        <w:t>8. 隐私政策</w:t>
        <w:br/>
        <w:t>9. 悬赏规则</w:t>
        <w:br/>
        <w:t>10. 用户行为规范</w:t>
        <w:br/>
        <w:t>11. 举报和申诉机制</w:t>
        <w:br/>
        <w:t>12. 内容审核机制</w:t>
        <w:br/>
        <w:br/>
        <w:t>重点评估：</w:t>
        <w:br/>
        <w:t>1. ICP经营许可证</w:t>
        <w:br/>
        <w:t xml:space="preserve">   - 江湖令属于用户发布信息、任务撮合的平台模式，应按照经营性互联网信息服务方向评估。</w:t>
        <w:br/>
        <w:br/>
        <w:t>2. EDI许可证</w:t>
        <w:br/>
        <w:t xml:space="preserve">   - 如果未来形成完整在线交易订单、平台处理交易流程，需要进一步评估。</w:t>
      </w:r>
    </w:p>
    <w:p>
      <w:pPr>
        <w:pStyle w:val="Heading1"/>
      </w:pPr>
      <w:r>
        <w:t>四、统一资金方案</w:t>
      </w:r>
    </w:p>
    <w:p>
      <w:r>
        <w:t>V1阶段不建议自建钱包。</w:t>
        <w:br/>
        <w:br/>
        <w:t>不要采用：</w:t>
        <w:br/>
        <w:t>用户充值 → 平台余额 → 平台提现。</w:t>
        <w:br/>
        <w:br/>
        <w:t>推荐：</w:t>
        <w:br/>
        <w:t>发布悬赏 → 第三方支付确认 → 任务完成 → 验收 → 结算。</w:t>
        <w:br/>
        <w:br/>
        <w:t>平台主要管理：</w:t>
        <w:br/>
        <w:t>- 悬赏状态</w:t>
        <w:br/>
        <w:t>- 订单状态</w:t>
        <w:br/>
        <w:t>- 验收状态</w:t>
        <w:br/>
        <w:t>- 结算记录</w:t>
        <w:br/>
        <w:br/>
        <w:t>资金能力交由合规支付机构处理。</w:t>
      </w:r>
    </w:p>
    <w:p>
      <w:pPr>
        <w:pStyle w:val="Heading1"/>
      </w:pPr>
      <w:r>
        <w:t>五、平台规则体系</w:t>
      </w:r>
    </w:p>
    <w:p>
      <w:r>
        <w:t>必须建设：</w:t>
        <w:br/>
        <w:br/>
        <w:t>《江湖令用户服务协议》</w:t>
        <w:br/>
        <w:t>包括：</w:t>
        <w:br/>
        <w:t>账号、服务、违规、处罚、知识产权、争议处理。</w:t>
        <w:br/>
        <w:br/>
        <w:t>《江湖令隐私政策》</w:t>
        <w:br/>
        <w:t>包括：</w:t>
        <w:br/>
        <w:t>个人信息收集、使用、保存、安全措施。</w:t>
        <w:br/>
        <w:br/>
        <w:t>《江湖令悬赏任务规则》</w:t>
        <w:br/>
        <w:t>包括：</w:t>
        <w:br/>
        <w:t>发布、揭榜、执行、验收、奖励、取消、退款、纠纷。</w:t>
        <w:br/>
        <w:br/>
        <w:t>《江湖令用户行为规范》</w:t>
        <w:br/>
        <w:t>禁止：</w:t>
        <w:br/>
        <w:t>诈骗、赌博、色情、违法交易、黑产、攻击、侵犯隐私等。</w:t>
        <w:br/>
        <w:br/>
        <w:t>《举报与申诉规则》</w:t>
        <w:br/>
        <w:t>形成：</w:t>
        <w:br/>
        <w:t>举报 → 审核 → 处理 → 申诉 → 复核闭环。</w:t>
      </w:r>
    </w:p>
    <w:p>
      <w:pPr>
        <w:pStyle w:val="Heading1"/>
      </w:pPr>
      <w:r>
        <w:t>六、实名认证与风控</w:t>
      </w:r>
    </w:p>
    <w:p>
      <w:r>
        <w:t>采用分级认证：</w:t>
        <w:br/>
        <w:br/>
        <w:t>注册：</w:t>
        <w:br/>
        <w:t>手机号。</w:t>
        <w:br/>
        <w:br/>
        <w:t>发布悬赏：</w:t>
        <w:br/>
        <w:t>基础认证。</w:t>
        <w:br/>
        <w:br/>
        <w:t>高风险任务：</w:t>
        <w:br/>
        <w:t>增强认证。</w:t>
        <w:br/>
        <w:br/>
        <w:t>提现：</w:t>
        <w:br/>
        <w:t>实名认证和支付账户一致性校验。</w:t>
        <w:br/>
        <w:br/>
        <w:t>原则：</w:t>
        <w:br/>
        <w:t>业务需要什么，收集什么，不无必要收集敏感信息。</w:t>
      </w:r>
    </w:p>
    <w:p>
      <w:pPr>
        <w:pStyle w:val="Heading1"/>
      </w:pPr>
      <w:r>
        <w:t>七、技术后台必须具备</w:t>
      </w:r>
    </w:p>
    <w:p>
      <w:r>
        <w:t>后台模块建议：</w:t>
        <w:br/>
        <w:br/>
        <w:t>- 用户管理</w:t>
        <w:br/>
        <w:t>- 实名认证管理</w:t>
        <w:br/>
        <w:t>- 悬赏审核</w:t>
        <w:br/>
        <w:t>- 内容审核</w:t>
        <w:br/>
        <w:t>- 举报管理</w:t>
        <w:br/>
        <w:t>- 申诉管理</w:t>
        <w:br/>
        <w:t>- 订单纠纷处理</w:t>
        <w:br/>
        <w:t>- 支付及结算记录</w:t>
        <w:br/>
        <w:t>- 侠义值异常处理</w:t>
        <w:br/>
        <w:t>- 敏感词管理</w:t>
        <w:br/>
        <w:t>- 用户处罚</w:t>
        <w:br/>
        <w:t>- 操作审计日志</w:t>
        <w:br/>
        <w:t>- 安全日志</w:t>
      </w:r>
    </w:p>
    <w:p>
      <w:pPr>
        <w:pStyle w:val="Heading1"/>
      </w:pPr>
      <w:r>
        <w:t>八、数据库需要预留</w:t>
      </w:r>
    </w:p>
    <w:p>
      <w:r>
        <w:t>核心业务表：</w:t>
        <w:br/>
        <w:br/>
        <w:t>users</w:t>
        <w:br/>
        <w:t>user_real_names</w:t>
        <w:br/>
        <w:t>user_verifications</w:t>
        <w:br/>
        <w:br/>
        <w:t>bounties</w:t>
        <w:br/>
        <w:t>bounty_participants</w:t>
        <w:br/>
        <w:t>bounty_orders</w:t>
        <w:br/>
        <w:t>bounty_deliverables</w:t>
        <w:br/>
        <w:br/>
        <w:t>payments</w:t>
        <w:br/>
        <w:t>payment_orders</w:t>
        <w:br/>
        <w:t>refunds</w:t>
        <w:br/>
        <w:t>settlements</w:t>
        <w:br/>
        <w:br/>
        <w:t>user_credit</w:t>
        <w:br/>
        <w:t>user_hero_values</w:t>
        <w:br/>
        <w:br/>
        <w:t>reports</w:t>
        <w:br/>
        <w:t>complaints</w:t>
        <w:br/>
        <w:t>appeals</w:t>
        <w:br/>
        <w:t>violations</w:t>
        <w:br/>
        <w:t>punishments</w:t>
        <w:br/>
        <w:br/>
        <w:t>content_audits</w:t>
        <w:br/>
        <w:t>sensitive_words</w:t>
        <w:br/>
        <w:br/>
        <w:t>operation_logs</w:t>
        <w:br/>
        <w:t>security_logs</w:t>
        <w:br/>
        <w:t>login_logs</w:t>
      </w:r>
    </w:p>
    <w:p>
      <w:pPr>
        <w:pStyle w:val="Heading1"/>
      </w:pPr>
      <w:r>
        <w:t>九、商标规划</w:t>
      </w:r>
    </w:p>
    <w:p>
      <w:r>
        <w:t>建议尽早申请：</w:t>
        <w:br/>
        <w:br/>
        <w:t>江湖令文字商标</w:t>
        <w:br/>
        <w:t>江湖令Logo</w:t>
        <w:br/>
        <w:br/>
        <w:t>重点考虑：</w:t>
        <w:br/>
        <w:t>第9类（软件）</w:t>
        <w:br/>
        <w:t>第35类（商业服务）</w:t>
        <w:br/>
        <w:t>第38类（通信）</w:t>
        <w:br/>
        <w:t>第42类（技术服务）</w:t>
        <w:br/>
        <w:br/>
        <w:t>具体类别根据商标检索结果确定。</w:t>
      </w:r>
    </w:p>
    <w:p>
      <w:pPr>
        <w:pStyle w:val="Heading1"/>
      </w:pPr>
      <w:r>
        <w:t>十、上线执行顺序</w:t>
      </w:r>
    </w:p>
    <w:p>
      <w:r>
        <w:t>1. 注册公司</w:t>
        <w:br/>
        <w:t>2. 开通对公账户</w:t>
        <w:br/>
        <w:t>3. 完成税务事项</w:t>
        <w:br/>
        <w:t>4. 注册域名</w:t>
        <w:br/>
        <w:t>5. 商标申请</w:t>
        <w:br/>
        <w:t>6. ICP备案</w:t>
        <w:br/>
        <w:t>7. 公安联网备案</w:t>
        <w:br/>
        <w:t>8. 确认ICP经营许可证路径</w:t>
        <w:br/>
        <w:t>9. 根据交易模式评估EDI</w:t>
        <w:br/>
        <w:t>10. 接入实名认证</w:t>
        <w:br/>
        <w:t>11. 接入内容审核</w:t>
        <w:br/>
        <w:t>12. 完成平台规则</w:t>
        <w:br/>
        <w:t>13. 接入第三方支付</w:t>
        <w:br/>
        <w:t>14. 安全测试后上线</w:t>
      </w:r>
    </w:p>
    <w:p>
      <w:pPr>
        <w:pStyle w:val="Heading1"/>
      </w:pPr>
      <w:r>
        <w:t>十一、统一建议声明</w:t>
      </w:r>
    </w:p>
    <w:p>
      <w:r>
        <w:t>本文作为江湖令项目长期规划基准。</w:t>
        <w:br/>
        <w:br/>
        <w:t>除非发生以下重大变化：</w:t>
        <w:br/>
        <w:t>- 自营商品交易</w:t>
        <w:br/>
        <w:t>- 金融服务</w:t>
        <w:br/>
        <w:t>- 钱包余额体系</w:t>
        <w:br/>
        <w:t>- 直播业务</w:t>
        <w:br/>
        <w:t>- 招聘业务</w:t>
        <w:br/>
        <w:t>- 网约服务</w:t>
        <w:br/>
        <w:t>- 大规模交易平台化</w:t>
        <w:br/>
        <w:br/>
        <w:t>否则：</w:t>
        <w:br/>
        <w:t>公司定位、资质规划、资金方案、平台规则、安全设计均沿用本文方案，不因单次讨论改变方向。</w:t>
        <w:br/>
        <w:br/>
        <w:t>最终资质仍需以实际业务和主管部门审核结果为准。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