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49685" w14:textId="402C9AA5" w:rsidR="004E05DE" w:rsidRDefault="00986FCF" w:rsidP="00986FCF">
      <w:pPr>
        <w:pStyle w:val="Heading1"/>
      </w:pPr>
      <w:r w:rsidRPr="00986FCF">
        <w:t xml:space="preserve">BIOS6621 </w:t>
      </w:r>
      <w:r w:rsidR="001959B5">
        <w:t>Homework p-value</w:t>
      </w:r>
      <w:bookmarkStart w:id="0" w:name="_GoBack"/>
      <w:bookmarkEnd w:id="0"/>
    </w:p>
    <w:p w14:paraId="047D5316" w14:textId="77777777" w:rsidR="00986FCF" w:rsidRDefault="00986FCF" w:rsidP="00986FCF">
      <w:pPr>
        <w:pStyle w:val="Heading3"/>
      </w:pPr>
      <w:r>
        <w:t>What would be your message to an investigator whose analysis comparing two groups gave p=0.61?  What would be your next action(s) for the project?</w:t>
      </w:r>
    </w:p>
    <w:p w14:paraId="56E92651" w14:textId="54CA9BDE" w:rsidR="00986FCF" w:rsidRDefault="00986FCF" w:rsidP="00986FCF">
      <w:pPr>
        <w:tabs>
          <w:tab w:val="left" w:pos="360"/>
        </w:tabs>
      </w:pPr>
      <w:r>
        <w:t xml:space="preserve">I will suggest </w:t>
      </w:r>
      <w:r w:rsidR="00F15B19">
        <w:t>a potential variance if the result violates prior plausibility</w:t>
      </w:r>
      <w:r>
        <w:t xml:space="preserve">. </w:t>
      </w:r>
      <w:r w:rsidR="00C76C2D">
        <w:t>Probably there is no difference between those two groups.</w:t>
      </w:r>
    </w:p>
    <w:p w14:paraId="452CCA4B" w14:textId="3AF3168C" w:rsidR="00986FCF" w:rsidRDefault="00986FCF" w:rsidP="00986FCF">
      <w:pPr>
        <w:tabs>
          <w:tab w:val="left" w:pos="360"/>
        </w:tabs>
      </w:pPr>
      <w:r>
        <w:t xml:space="preserve">I will </w:t>
      </w:r>
      <w:r w:rsidR="005B0DFE">
        <w:t xml:space="preserve">report continuous p-value, </w:t>
      </w:r>
      <w:r>
        <w:t>review the research assumptions as well as designs</w:t>
      </w:r>
      <w:r w:rsidR="005B0DFE">
        <w:t>,</w:t>
      </w:r>
      <w:r>
        <w:t xml:space="preserve"> and suggest reliable repeats and replications for the same research.</w:t>
      </w:r>
    </w:p>
    <w:p w14:paraId="496FDB86" w14:textId="77777777" w:rsidR="00986FCF" w:rsidRDefault="00986FCF" w:rsidP="00986FCF">
      <w:pPr>
        <w:pStyle w:val="Heading3"/>
      </w:pPr>
      <w:r>
        <w:t>What would be your message to an investigator whose analysis comparing two groups gave p=0.061?  What would be your next action(s) for the project?</w:t>
      </w:r>
    </w:p>
    <w:p w14:paraId="2C88C433" w14:textId="10C8B109" w:rsidR="00B70038" w:rsidRDefault="00360696" w:rsidP="00986FCF">
      <w:pPr>
        <w:tabs>
          <w:tab w:val="left" w:pos="360"/>
        </w:tabs>
      </w:pPr>
      <w:r>
        <w:t>I will suggest an acceptance of uncertainty and looking for detailed explanation.</w:t>
      </w:r>
    </w:p>
    <w:p w14:paraId="6345854F" w14:textId="0D38E59B" w:rsidR="00986FCF" w:rsidRDefault="00B70038" w:rsidP="00986FCF">
      <w:pPr>
        <w:tabs>
          <w:tab w:val="left" w:pos="360"/>
        </w:tabs>
      </w:pPr>
      <w:r>
        <w:t xml:space="preserve">I will confirm with the investigators for relevant evidence, mechanism, research design and data quality, and interpret the p-value based on sample size and meaningful effect size. </w:t>
      </w:r>
    </w:p>
    <w:p w14:paraId="7D181B89" w14:textId="77777777" w:rsidR="00986FCF" w:rsidRDefault="00986FCF" w:rsidP="00986FCF">
      <w:pPr>
        <w:pStyle w:val="Heading3"/>
      </w:pPr>
      <w:r>
        <w:t>What would be your message to an investigator whose analysis comparing two groups gave p=0.000061?  What would be your next action(s) for the project?</w:t>
      </w:r>
    </w:p>
    <w:p w14:paraId="20E54FEE" w14:textId="7A04E387" w:rsidR="00986FCF" w:rsidRDefault="00986FCF" w:rsidP="00986FCF">
      <w:pPr>
        <w:tabs>
          <w:tab w:val="left" w:pos="360"/>
        </w:tabs>
      </w:pPr>
      <w:r>
        <w:t>I will probably accept the “statistical signific</w:t>
      </w:r>
      <w:r w:rsidR="00F15B19">
        <w:t>ance</w:t>
      </w:r>
      <w:r>
        <w:t>”</w:t>
      </w:r>
      <w:r w:rsidR="00F15B19">
        <w:t xml:space="preserve"> </w:t>
      </w:r>
      <w:r w:rsidR="00B70038">
        <w:t xml:space="preserve">but </w:t>
      </w:r>
      <w:r w:rsidR="00360696">
        <w:t xml:space="preserve">point out that the </w:t>
      </w:r>
      <w:r w:rsidR="00B70038">
        <w:t>p-value measures neither the size of effect, nor the importance of a research.</w:t>
      </w:r>
    </w:p>
    <w:p w14:paraId="4C3108A5" w14:textId="68B3BFC3" w:rsidR="00F15B19" w:rsidRDefault="00F15B19" w:rsidP="00986FCF">
      <w:pPr>
        <w:tabs>
          <w:tab w:val="left" w:pos="360"/>
        </w:tabs>
      </w:pPr>
      <w:r>
        <w:t>Besides actions above, I will check the data-based odds of the alternative hypothesis to null hypothesis, and probably also provide additional FPR (false positive risk) and s-value (Shannon information).</w:t>
      </w:r>
    </w:p>
    <w:p w14:paraId="18382C5D" w14:textId="77777777" w:rsidR="00986FCF" w:rsidRDefault="00986FCF" w:rsidP="00986FCF">
      <w:pPr>
        <w:pStyle w:val="Heading3"/>
      </w:pPr>
      <w:r>
        <w:t>An investigator requested an analysis, and then requested a slight modification of the analysis.  The analyses gave p=0.041 and p=0.068 respectively.  What would be your message to the investigator?  What would be your next action(s) for the project?</w:t>
      </w:r>
    </w:p>
    <w:p w14:paraId="3E0AA987" w14:textId="46E939EC" w:rsidR="00986FCF" w:rsidRDefault="00F15B19" w:rsidP="00986FCF">
      <w:r>
        <w:t xml:space="preserve">My opinion </w:t>
      </w:r>
      <w:r w:rsidR="004A71E0">
        <w:t xml:space="preserve">follows </w:t>
      </w:r>
      <w:r>
        <w:t>the ATOM principles,</w:t>
      </w:r>
      <w:r w:rsidR="0092614D">
        <w:t xml:space="preserve"> according to which, we should accept potential variance and keep transparency in conducting and presenting the research</w:t>
      </w:r>
      <w:r w:rsidR="00B70038">
        <w:t>.</w:t>
      </w:r>
    </w:p>
    <w:p w14:paraId="0B57DB22" w14:textId="1A184594" w:rsidR="0092614D" w:rsidRDefault="0092614D" w:rsidP="00986FCF">
      <w:r>
        <w:t xml:space="preserve">I will record and report the result truthfully after FPR test, and I will focus more on the practical effect size of this research based on expert judgement and reproductivity from other groups. </w:t>
      </w:r>
    </w:p>
    <w:p w14:paraId="3A166D4B" w14:textId="77777777" w:rsidR="00986FCF" w:rsidRDefault="00986FCF" w:rsidP="00986FCF">
      <w:pPr>
        <w:pStyle w:val="Heading3"/>
      </w:pPr>
      <w:r>
        <w:t>A particular treatment showed a benefit, with p=0.00031, with few side-effects and low cost.  Would you recommend the treatment be widely used?  What further information would you want to see?</w:t>
      </w:r>
    </w:p>
    <w:p w14:paraId="096BBA81" w14:textId="77F8189B" w:rsidR="00986FCF" w:rsidRDefault="005B0DFE" w:rsidP="00986FCF">
      <w:r>
        <w:t>I would not recommend a wide application for this treatment immediately.</w:t>
      </w:r>
    </w:p>
    <w:p w14:paraId="009425E9" w14:textId="5D979147" w:rsidR="005B0DFE" w:rsidRDefault="005B0DFE" w:rsidP="00986FCF">
      <w:r>
        <w:t xml:space="preserve">I will confirm the practical benefits with existing evidence of this treatment and other equivalence testing. I will also check for other supplemented information, such as, s-value, AnGred, and FPR. </w:t>
      </w:r>
    </w:p>
    <w:p w14:paraId="04DE9BB1" w14:textId="02D78217" w:rsidR="00986FCF" w:rsidRDefault="00986FCF" w:rsidP="00986FCF">
      <w:pPr>
        <w:pStyle w:val="Heading3"/>
      </w:pPr>
      <w:r>
        <w:lastRenderedPageBreak/>
        <w:t>What problem were p-values created and popularized to solve?  What problem(s) have their widespread use created?</w:t>
      </w:r>
    </w:p>
    <w:p w14:paraId="20A65FC2" w14:textId="7844D483" w:rsidR="004A71E0" w:rsidRPr="004A71E0" w:rsidRDefault="004A71E0" w:rsidP="004A71E0">
      <w:r>
        <w:t xml:space="preserve">p-values were created as a </w:t>
      </w:r>
      <w:r w:rsidR="006C1E08">
        <w:t>heuristic “</w:t>
      </w:r>
      <w:r>
        <w:t>tool to indicate when a result warrants further scrutiny</w:t>
      </w:r>
      <w:r w:rsidR="005B0DFE">
        <w:t>” (Fisher 1925, Edgeworth 1885)</w:t>
      </w:r>
      <w:r>
        <w:t xml:space="preserve">. </w:t>
      </w:r>
    </w:p>
    <w:p w14:paraId="5C2CDB06" w14:textId="1AAD3C3E" w:rsidR="00986FCF" w:rsidRDefault="004A71E0" w:rsidP="00986FCF">
      <w:pPr>
        <w:tabs>
          <w:tab w:val="left" w:pos="360"/>
        </w:tabs>
      </w:pPr>
      <w:r>
        <w:t xml:space="preserve">p-values become a tyrant on the fate of a research, </w:t>
      </w:r>
      <w:r w:rsidR="005B0DFE">
        <w:t>since the confusion of</w:t>
      </w:r>
      <w:r>
        <w:t xml:space="preserve"> the “statistical significance” to “scientific significance”. </w:t>
      </w:r>
    </w:p>
    <w:p w14:paraId="3FDB553D" w14:textId="1A3E5825" w:rsidR="00986FCF" w:rsidRDefault="00986FCF" w:rsidP="00986FCF">
      <w:pPr>
        <w:pStyle w:val="Heading3"/>
      </w:pPr>
      <w:r>
        <w:t>List three things you will try to do, or avoid doing, in future projects when reporting p-values in an analysis.</w:t>
      </w:r>
    </w:p>
    <w:p w14:paraId="64C84D18" w14:textId="6F47BE75" w:rsidR="00360696" w:rsidRPr="006C1E08" w:rsidRDefault="00360696" w:rsidP="00360696">
      <w:pPr>
        <w:rPr>
          <w:b/>
          <w:bCs/>
        </w:rPr>
      </w:pPr>
      <w:r w:rsidRPr="006C1E08">
        <w:rPr>
          <w:b/>
          <w:bCs/>
        </w:rPr>
        <w:t>Things I WILL try to do:</w:t>
      </w:r>
    </w:p>
    <w:p w14:paraId="59529A05" w14:textId="5DD81B3B" w:rsidR="00360696" w:rsidRPr="00360696" w:rsidRDefault="00360696" w:rsidP="00360696">
      <w:r>
        <w:t xml:space="preserve">Accept the </w:t>
      </w:r>
      <w:r w:rsidR="006C1E08">
        <w:t>countenance uncertainty</w:t>
      </w:r>
      <w:r w:rsidR="002402DE">
        <w:br/>
      </w:r>
      <w:r w:rsidR="006C1E08">
        <w:t>Keep thoughtful through context and prior knowledge</w:t>
      </w:r>
      <w:r w:rsidR="002402DE">
        <w:br/>
      </w:r>
      <w:r w:rsidR="006C1E08">
        <w:t>Open to transparency and to expert judgement</w:t>
      </w:r>
      <w:r w:rsidR="002402DE">
        <w:br/>
      </w:r>
      <w:r w:rsidR="006C1E08">
        <w:t>Be aware of ourselves limitations modestly</w:t>
      </w:r>
    </w:p>
    <w:p w14:paraId="3517C569" w14:textId="4EA7E491" w:rsidR="00360696" w:rsidRPr="006C1E08" w:rsidRDefault="00360696" w:rsidP="00986FCF">
      <w:pPr>
        <w:rPr>
          <w:b/>
          <w:bCs/>
        </w:rPr>
      </w:pPr>
      <w:r w:rsidRPr="006C1E08">
        <w:rPr>
          <w:b/>
          <w:bCs/>
        </w:rPr>
        <w:t>Things I will NOT try to do:</w:t>
      </w:r>
    </w:p>
    <w:p w14:paraId="780B43D9" w14:textId="77777777" w:rsidR="002D70C2" w:rsidRDefault="00360696" w:rsidP="002402DE">
      <w:pPr>
        <w:sectPr w:rsidR="002D70C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Jump to the conclusion simply for the statistical results.</w:t>
      </w:r>
      <w:r w:rsidR="002402DE">
        <w:br/>
      </w:r>
      <w:r>
        <w:t>Overestimate effects or benefits through single research.</w:t>
      </w:r>
      <w:r w:rsidR="002402DE">
        <w:br/>
      </w:r>
      <w:r>
        <w:t>Report or mention the “statistical significance” in abstract section.</w:t>
      </w:r>
    </w:p>
    <w:p w14:paraId="0ADF8DAA" w14:textId="6D432091" w:rsidR="00360696" w:rsidRDefault="005E3D22" w:rsidP="002402DE">
      <w:pPr>
        <w:pStyle w:val="Heading3"/>
      </w:pPr>
      <w:r>
        <w:lastRenderedPageBreak/>
        <w:t xml:space="preserve">Then, write a ½ to </w:t>
      </w:r>
      <w:proofErr w:type="gramStart"/>
      <w:r>
        <w:t>1 page</w:t>
      </w:r>
      <w:proofErr w:type="gramEnd"/>
      <w:r>
        <w:t xml:space="preserve"> double spaced summary of some of your reading on the subject:</w:t>
      </w:r>
    </w:p>
    <w:p w14:paraId="2C29473D" w14:textId="4A4BB7FB" w:rsidR="00EF0EA6" w:rsidRPr="00C76C2D" w:rsidRDefault="000B3119" w:rsidP="002402DE">
      <w:pPr>
        <w:spacing w:line="480" w:lineRule="auto"/>
        <w:rPr>
          <w:rFonts w:ascii="Calibri" w:hAnsi="Calibri" w:cs="Times New Roman"/>
          <w:color w:val="000000"/>
          <w:szCs w:val="24"/>
        </w:rPr>
      </w:pPr>
      <w:r>
        <w:t>Paradoxically, p-value is a combination of contradict theories,</w:t>
      </w:r>
      <w:r w:rsidRPr="000B3119">
        <w:t xml:space="preserve"> </w:t>
      </w:r>
      <w:r>
        <w:t>mixed with different ways of inferential reasoning</w:t>
      </w:r>
      <w:r w:rsidR="009F1763">
        <w:t xml:space="preserve">. </w:t>
      </w:r>
      <w:r w:rsidR="006B1492">
        <w:t>Our human being</w:t>
      </w:r>
      <w:r w:rsidR="007A224D">
        <w:t>s</w:t>
      </w:r>
      <w:r w:rsidR="006B1492">
        <w:t xml:space="preserve"> born with two different ways of reasoning: deduction and induction</w:t>
      </w:r>
      <w:r w:rsidR="002402DE">
        <w:fldChar w:fldCharType="begin">
          <w:fldData xml:space="preserve">PEVuZE5vdGU+PENpdGU+PEF1dGhvcj5Hb29kbWFuPC9BdXRob3I+PFllYXI+MTk5OTwvWWVhcj48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</w:fldData>
        </w:fldChar>
      </w:r>
      <w:r w:rsidR="002402DE">
        <w:instrText xml:space="preserve"> ADDIN EN.CITE </w:instrText>
      </w:r>
      <w:r w:rsidR="002402DE">
        <w:fldChar w:fldCharType="begin">
          <w:fldData xml:space="preserve">PEVuZE5vdGU+PENpdGU+PEF1dGhvcj5Hb29kbWFuPC9BdXRob3I+PFllYXI+MTk5OTwvWWVhcj48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</w:fldData>
        </w:fldChar>
      </w:r>
      <w:r w:rsidR="002402DE">
        <w:instrText xml:space="preserve"> ADDIN EN.CITE.DATA </w:instrText>
      </w:r>
      <w:r w:rsidR="002402DE">
        <w:fldChar w:fldCharType="end"/>
      </w:r>
      <w:r w:rsidR="002402DE">
        <w:fldChar w:fldCharType="separate"/>
      </w:r>
      <w:r w:rsidR="002402DE">
        <w:rPr>
          <w:noProof/>
        </w:rPr>
        <w:t>(Goodman 1999, Goodman 2003)</w:t>
      </w:r>
      <w:r w:rsidR="002402DE">
        <w:fldChar w:fldCharType="end"/>
      </w:r>
      <w:r w:rsidR="006B1492">
        <w:t xml:space="preserve">. </w:t>
      </w:r>
      <w:r w:rsidR="009F1763">
        <w:t xml:space="preserve">Deduction was </w:t>
      </w:r>
      <w:r>
        <w:t>based</w:t>
      </w:r>
      <w:r w:rsidR="009F1763">
        <w:t xml:space="preserve"> on the knowledge and hypothesis, which we assume as natural truth and predict the possible outcomes accordingly. In this way, as long as</w:t>
      </w:r>
      <w:r w:rsidR="0040245F">
        <w:t xml:space="preserve"> our premises are correct, we cannot get a wrong result, we just need to check the compatibility of our observation and the “objective truth”. </w:t>
      </w:r>
      <w:r w:rsidR="0040245F" w:rsidRPr="00224255">
        <w:rPr>
          <w:rStyle w:val="fontstyle01"/>
          <w:rFonts w:cs="Times New Roman"/>
        </w:rPr>
        <w:t>Statistically, Neyman and Pearson’s hypothesis test is the classical way to check the truth of deductive reasoning</w:t>
      </w:r>
      <w:r w:rsidR="00C76C2D">
        <w:rPr>
          <w:rStyle w:val="fontstyle01"/>
          <w:rFonts w:cs="Times New Roman"/>
        </w:rPr>
        <w:t xml:space="preserve"> </w:t>
      </w:r>
      <w:r w:rsidR="002402DE">
        <w:rPr>
          <w:rStyle w:val="fontstyle01"/>
          <w:rFonts w:cs="Times New Roman"/>
        </w:rPr>
        <w:fldChar w:fldCharType="begin"/>
      </w:r>
      <w:r w:rsidR="002402DE">
        <w:rPr>
          <w:rStyle w:val="fontstyle01"/>
          <w:rFonts w:cs="Times New Roman"/>
        </w:rPr>
        <w:instrText xml:space="preserve"> ADDIN EN.CITE &lt;EndNote&gt;&lt;Cite&gt;&lt;Author&gt;Goodman&lt;/Author&gt;&lt;Year&gt;2008&lt;/Year&gt;&lt;RecNum&gt;14&lt;/RecNum&gt;&lt;DisplayText&gt;(Goodman 2008)&lt;/DisplayText&gt;&lt;record&gt;&lt;rec-number&gt;14&lt;/rec-number&gt;&lt;foreign-keys&gt;&lt;key app="EN" db-id="e5rz005rt0pv26ev0pqxrwe600d9252ep5ww" timestamp="1568692432"&gt;14&lt;/key&gt;&lt;/foreign-keys&gt;&lt;ref-type name="Journal Article"&gt;17&lt;/ref-type&gt;&lt;contributors&gt;&lt;authors&gt;&lt;author&gt;Goodman, S.&lt;/author&gt;&lt;/authors&gt;&lt;/contributors&gt;&lt;auth-address&gt;Departments of Oncology, Epidemiology, and Biostatistics, Johns Hopkins Schools of Medicine and Public Health, Baltimore, MD, USA. Sgoodman@jhmi.edu&lt;/auth-address&gt;&lt;titles&gt;&lt;title&gt;A dirty dozen: twelve p-value misconceptions&lt;/title&gt;&lt;secondary-title&gt;Semin Hematol&lt;/secondary-title&gt;&lt;/titles&gt;&lt;periodical&gt;&lt;full-title&gt;Semin Hematol&lt;/full-title&gt;&lt;/periodical&gt;&lt;pages&gt;135-40&lt;/pages&gt;&lt;volume&gt;45&lt;/volume&gt;&lt;number&gt;3&lt;/number&gt;&lt;edition&gt;2008/06/28&lt;/edition&gt;&lt;keywords&gt;&lt;keyword&gt;Probability&lt;/keyword&gt;&lt;keyword&gt;*Research Design&lt;/keyword&gt;&lt;/keywords&gt;&lt;dates&gt;&lt;year&gt;2008&lt;/year&gt;&lt;pub-dates&gt;&lt;date&gt;Jul&lt;/date&gt;&lt;/pub-dates&gt;&lt;/dates&gt;&lt;isbn&gt;0037-1963 (Print)&amp;#xD;0037-1963 (Linking)&lt;/isbn&gt;&lt;accession-num&gt;18582619&lt;/accession-num&gt;&lt;urls&gt;&lt;related-urls&gt;&lt;url&gt;https://www.ncbi.nlm.nih.gov/pubmed/18582619&lt;/url&gt;&lt;/related-urls&gt;&lt;/urls&gt;&lt;electronic-resource-num&gt;10.1053/j.seminhematol.2008.04.003&lt;/electronic-resource-num&gt;&lt;/record&gt;&lt;/Cite&gt;&lt;/EndNote&gt;</w:instrText>
      </w:r>
      <w:r w:rsidR="002402DE">
        <w:rPr>
          <w:rStyle w:val="fontstyle01"/>
          <w:rFonts w:cs="Times New Roman"/>
        </w:rPr>
        <w:fldChar w:fldCharType="separate"/>
      </w:r>
      <w:r w:rsidR="002402DE">
        <w:rPr>
          <w:rStyle w:val="fontstyle01"/>
          <w:rFonts w:cs="Times New Roman"/>
          <w:noProof/>
        </w:rPr>
        <w:t>(Goodman 2008)</w:t>
      </w:r>
      <w:r w:rsidR="002402DE">
        <w:rPr>
          <w:rStyle w:val="fontstyle01"/>
          <w:rFonts w:cs="Times New Roman"/>
        </w:rPr>
        <w:fldChar w:fldCharType="end"/>
      </w:r>
      <w:r w:rsidR="0040245F" w:rsidRPr="00224255">
        <w:rPr>
          <w:rStyle w:val="fontstyle01"/>
          <w:rFonts w:cs="Times New Roman"/>
        </w:rPr>
        <w:t>.</w:t>
      </w:r>
      <w:r w:rsidR="0040245F">
        <w:rPr>
          <w:rStyle w:val="fontstyle01"/>
          <w:rFonts w:cs="Times New Roman"/>
        </w:rPr>
        <w:t xml:space="preserve"> On the other hand, </w:t>
      </w:r>
      <w:r>
        <w:rPr>
          <w:rStyle w:val="fontstyle01"/>
          <w:rFonts w:cs="Times New Roman"/>
        </w:rPr>
        <w:t xml:space="preserve">inductive reasoning is the backward of deduction. We need to collective and observe the samples as detailed as possible to get </w:t>
      </w:r>
      <w:r w:rsidR="007A224D">
        <w:rPr>
          <w:rStyle w:val="fontstyle01"/>
          <w:rFonts w:cs="Times New Roman"/>
        </w:rPr>
        <w:t>the “hypothesis”</w:t>
      </w:r>
      <w:r>
        <w:rPr>
          <w:rStyle w:val="fontstyle01"/>
          <w:rFonts w:cs="Times New Roman"/>
        </w:rPr>
        <w:t xml:space="preserve">. The evidence and judgement of every single observation are essential for the conclusion of induction. Every piece of new information </w:t>
      </w:r>
      <w:r w:rsidR="00EF0EA6">
        <w:rPr>
          <w:rStyle w:val="fontstyle01"/>
          <w:rFonts w:cs="Times New Roman"/>
        </w:rPr>
        <w:t xml:space="preserve">can expand our knowledge toward new hypotheses. </w:t>
      </w:r>
      <w:r w:rsidR="00EF0EA6">
        <w:t xml:space="preserve">Fisher’s p-index </w:t>
      </w:r>
      <w:r w:rsidR="007A224D">
        <w:t>is designed</w:t>
      </w:r>
      <w:r w:rsidR="00EF0EA6">
        <w:t xml:space="preserve"> </w:t>
      </w:r>
      <w:r w:rsidR="007A224D">
        <w:t xml:space="preserve">to test the </w:t>
      </w:r>
      <w:r w:rsidR="00EF0EA6">
        <w:t>strength of evidence</w:t>
      </w:r>
      <w:r w:rsidR="007A224D">
        <w:t>, solely for induction.</w:t>
      </w:r>
    </w:p>
    <w:p w14:paraId="404172B7" w14:textId="3142F1EC" w:rsidR="0040245F" w:rsidRDefault="00EF0EA6" w:rsidP="002402DE">
      <w:pPr>
        <w:spacing w:line="480" w:lineRule="auto"/>
      </w:pPr>
      <w:r>
        <w:t xml:space="preserve">Naturally, deduction and induction are incompatible for solving a particular problem. We cannot know everything but also do not know </w:t>
      </w:r>
      <w:r w:rsidR="006B1492">
        <w:t xml:space="preserve">anything </w:t>
      </w:r>
      <w:r>
        <w:t xml:space="preserve">about it at the same time. However, p-value is </w:t>
      </w:r>
      <w:r w:rsidR="006B1492">
        <w:t xml:space="preserve">a </w:t>
      </w:r>
      <w:r>
        <w:t>preposterous combination of bot</w:t>
      </w:r>
      <w:r w:rsidR="00771504">
        <w:t>h</w:t>
      </w:r>
      <w:r w:rsidR="002402DE">
        <w:fldChar w:fldCharType="begin"/>
      </w:r>
      <w:r w:rsidR="002402DE">
        <w:instrText xml:space="preserve"> ADDIN EN.CITE &lt;EndNote&gt;&lt;Cite&gt;&lt;Author&gt;Goodman&lt;/Author&gt;&lt;Year&gt;1999&lt;/Year&gt;&lt;RecNum&gt;1&lt;/RecNum&gt;&lt;DisplayText&gt;(Goodman 1999)&lt;/DisplayText&gt;&lt;record&gt;&lt;rec-number&gt;1&lt;/rec-number&gt;&lt;foreign-keys&gt;&lt;key app="EN" db-id="e5rz005rt0pv26ev0pqxrwe600d9252ep5ww" timestamp="1568571653"&gt;1&lt;/key&gt;&lt;/foreign-keys&gt;&lt;ref-type name="Journal Article"&gt;17&lt;/ref-type&gt;&lt;contributors&gt;&lt;authors&gt;&lt;author&gt;Goodman, S. N.&lt;/author&gt;&lt;/authors&gt;&lt;/contributors&gt;&lt;auth-address&gt;Johns Hopkins University School of Medicine, Baltimore, Maryland, USA. sgoodman@jhu.edu&lt;/auth-address&gt;&lt;titles&gt;&lt;title&gt;Toward evidence-based medical statistics. 1: The P value fallacy&lt;/title&gt;&lt;secondary-title&gt;Ann Intern Med&lt;/secondary-title&gt;&lt;/titles&gt;&lt;periodical&gt;&lt;full-title&gt;Ann Intern Med&lt;/full-title&gt;&lt;/periodical&gt;&lt;pages&gt;995-1004&lt;/pages&gt;&lt;volume&gt;130&lt;/volume&gt;&lt;number&gt;12&lt;/number&gt;&lt;edition&gt;1999/06/26&lt;/edition&gt;&lt;keywords&gt;&lt;keyword&gt;Bayes Theorem&lt;/keyword&gt;&lt;keyword&gt;*Evidence-Based Medicine&lt;/keyword&gt;&lt;keyword&gt;Humans&lt;/keyword&gt;&lt;keyword&gt;*Probability&lt;/keyword&gt;&lt;keyword&gt;Research Design&lt;/keyword&gt;&lt;/keywords&gt;&lt;dates&gt;&lt;year&gt;1999&lt;/year&gt;&lt;pub-dates&gt;&lt;date&gt;Jun 15&lt;/date&gt;&lt;/pub-dates&gt;&lt;/dates&gt;&lt;isbn&gt;0003-4819 (Print)&amp;#xD;0003-4819 (Linking)&lt;/isbn&gt;&lt;accession-num&gt;10383371&lt;/accession-num&gt;&lt;urls&gt;&lt;related-urls&gt;&lt;url&gt;https://www.ncbi.nlm.nih.gov/pubmed/10383371&lt;/url&gt;&lt;/related-urls&gt;&lt;/urls&gt;&lt;electronic-resource-num&gt;10.7326/0003-4819-130-12-199906150-00008&lt;/electronic-resource-num&gt;&lt;/record&gt;&lt;/Cite&gt;&lt;/EndNote&gt;</w:instrText>
      </w:r>
      <w:r w:rsidR="002402DE">
        <w:fldChar w:fldCharType="separate"/>
      </w:r>
      <w:r w:rsidR="002402DE">
        <w:rPr>
          <w:noProof/>
        </w:rPr>
        <w:t>(Goodman 1999)</w:t>
      </w:r>
      <w:r w:rsidR="002402DE">
        <w:fldChar w:fldCharType="end"/>
      </w:r>
      <w:r>
        <w:rPr>
          <w:rStyle w:val="fontstyle01"/>
          <w:rFonts w:cs="Times New Roman"/>
        </w:rPr>
        <w:t xml:space="preserve">. </w:t>
      </w:r>
      <w:r>
        <w:t xml:space="preserve">Neyman and Pearson hypothesis text focuses on the </w:t>
      </w:r>
      <w:r w:rsidR="006B1492">
        <w:t>“</w:t>
      </w:r>
      <w:r>
        <w:t>long-run</w:t>
      </w:r>
      <w:r w:rsidR="006B1492">
        <w:t>”</w:t>
      </w:r>
      <w:r>
        <w:t>, error-based</w:t>
      </w:r>
      <w:r w:rsidR="007A224D">
        <w:t>,</w:t>
      </w:r>
      <w:r>
        <w:t xml:space="preserve"> and deductive</w:t>
      </w:r>
      <w:r w:rsidR="007A224D">
        <w:t xml:space="preserve"> reasoning</w:t>
      </w:r>
      <w:r>
        <w:t>. In this way, the individual is anonymous and interchangeable less important.</w:t>
      </w:r>
      <w:r w:rsidR="006B1492">
        <w:t xml:space="preserve"> Fisher’s p-value is specifically </w:t>
      </w:r>
      <w:r w:rsidR="008047E9">
        <w:t xml:space="preserve">mistakenly </w:t>
      </w:r>
      <w:r w:rsidR="006B1492">
        <w:t>used to test the strength of evidence on the type I error rate</w:t>
      </w:r>
      <w:r w:rsidR="008047E9">
        <w:t xml:space="preserve"> </w:t>
      </w:r>
      <w:r w:rsidR="008047E9" w:rsidRPr="008047E9">
        <w:rPr>
          <w:rFonts w:ascii="Symbol" w:hAnsi="Symbol"/>
        </w:rPr>
        <w:t></w:t>
      </w:r>
      <w:r w:rsidR="008047E9">
        <w:t>-value</w:t>
      </w:r>
      <w:r w:rsidR="006B1492">
        <w:t>; the researchers focus on the “short-run”</w:t>
      </w:r>
      <w:r w:rsidR="00771504">
        <w:t xml:space="preserve"> and </w:t>
      </w:r>
      <w:r w:rsidR="007A224D">
        <w:t>requires identifiable and unique</w:t>
      </w:r>
      <w:r w:rsidR="00771504">
        <w:t xml:space="preserve"> evidence</w:t>
      </w:r>
      <w:r w:rsidR="007A224D">
        <w:t>. We simply cannot ask p-value to work out both the long-run and the short-run, anonymous as well as identifiable, deductive as well as inductive</w:t>
      </w:r>
      <w:r w:rsidR="002402DE">
        <w:fldChar w:fldCharType="begin"/>
      </w:r>
      <w:r w:rsidR="002402DE">
        <w:instrText xml:space="preserve"> ADDIN EN.CITE &lt;EndNote&gt;&lt;Cite&gt;&lt;Author&gt;Goodman&lt;/Author&gt;&lt;Year&gt;1999&lt;/Year&gt;&lt;RecNum&gt;2&lt;/RecNum&gt;&lt;DisplayText&gt;(Goodman 1999)&lt;/DisplayText&gt;&lt;record&gt;&lt;rec-number&gt;2&lt;/rec-number&gt;&lt;foreign-keys&gt;&lt;key app="EN" db-id="e5rz005rt0pv26ev0pqxrwe600d9252ep5ww" timestamp="1568571653"&gt;2&lt;/key&gt;&lt;/foreign-keys&gt;&lt;ref-type name="Journal Article"&gt;17&lt;/ref-type&gt;&lt;contributors&gt;&lt;authors&gt;&lt;author&gt;Goodman, S. N.&lt;/author&gt;&lt;/authors&gt;&lt;/contributors&gt;&lt;auth-address&gt;Johns Hopkins University School of Medicine, Baltimore, Maryland, USA. sgoodman@jhu.edu&lt;/auth-address&gt;&lt;titles&gt;&lt;title&gt;Toward evidence-based medical statistics. 2: The Bayes factor&lt;/title&gt;&lt;secondary-title&gt;Ann Intern Med&lt;/secondary-title&gt;&lt;/titles&gt;&lt;periodical&gt;&lt;full-title&gt;Ann Intern Med&lt;/full-title&gt;&lt;/periodical&gt;&lt;pages&gt;1005-13&lt;/pages&gt;&lt;volume&gt;130&lt;/volume&gt;&lt;number&gt;12&lt;/number&gt;&lt;edition&gt;1999/06/26&lt;/edition&gt;&lt;keywords&gt;&lt;keyword&gt;*Bayes Theorem&lt;/keyword&gt;&lt;keyword&gt;*Evidence-Based Medicine&lt;/keyword&gt;&lt;keyword&gt;Humans&lt;/keyword&gt;&lt;keyword&gt;Meta-Analysis as Topic&lt;/keyword&gt;&lt;keyword&gt;Probability&lt;/keyword&gt;&lt;keyword&gt;Research Design&lt;/keyword&gt;&lt;/keywords&gt;&lt;dates&gt;&lt;year&gt;1999&lt;/year&gt;&lt;pub-dates&gt;&lt;date&gt;Jun 15&lt;/date&gt;&lt;/pub-dates&gt;&lt;/dates&gt;&lt;isbn&gt;0003-4819 (Print)&amp;#xD;0003-4819 (Linking)&lt;/isbn&gt;&lt;accession-num&gt;10383350&lt;/accession-num&gt;&lt;urls&gt;&lt;related-urls&gt;&lt;url&gt;https://www.ncbi.nlm.nih.gov/pubmed/10383350&lt;/url&gt;&lt;/related-urls&gt;&lt;/urls&gt;&lt;electronic-resource-num&gt;10.7326/0003-4819-130-12-199906150-00019&lt;/electronic-resource-num&gt;&lt;/record&gt;&lt;/Cite&gt;&lt;/EndNote&gt;</w:instrText>
      </w:r>
      <w:r w:rsidR="002402DE">
        <w:fldChar w:fldCharType="separate"/>
      </w:r>
      <w:r w:rsidR="002402DE">
        <w:rPr>
          <w:noProof/>
        </w:rPr>
        <w:t>(Goodman 1999)</w:t>
      </w:r>
      <w:r w:rsidR="002402DE">
        <w:fldChar w:fldCharType="end"/>
      </w:r>
      <w:r w:rsidR="007A224D">
        <w:t>.</w:t>
      </w:r>
    </w:p>
    <w:p w14:paraId="78E4E7DB" w14:textId="022030F1" w:rsidR="006B1492" w:rsidRDefault="006B1492" w:rsidP="002402DE">
      <w:pPr>
        <w:spacing w:line="480" w:lineRule="auto"/>
        <w:rPr>
          <w:rStyle w:val="fontstyle01"/>
          <w:rFonts w:cs="Times New Roman"/>
        </w:rPr>
      </w:pPr>
      <w:r>
        <w:lastRenderedPageBreak/>
        <w:t>For ages, we have been using the factor should not have been exist  our analysis. P-value indeed is a chimera,</w:t>
      </w:r>
      <w:r w:rsidR="007A224D">
        <w:t xml:space="preserve"> not only for its logical </w:t>
      </w:r>
      <w:r w:rsidR="00771504">
        <w:t>void</w:t>
      </w:r>
      <w:r>
        <w:t xml:space="preserve">, but </w:t>
      </w:r>
      <w:r w:rsidR="007A224D">
        <w:t>also for</w:t>
      </w:r>
      <w:r>
        <w:t xml:space="preserve"> </w:t>
      </w:r>
      <w:r w:rsidR="00771504">
        <w:t xml:space="preserve">the </w:t>
      </w:r>
      <w:r w:rsidR="007A224D">
        <w:t xml:space="preserve">illusionary </w:t>
      </w:r>
      <w:r>
        <w:t>“significance” and “worth”</w:t>
      </w:r>
      <w:r w:rsidR="00771504">
        <w:t xml:space="preserve"> giving to people.</w:t>
      </w:r>
    </w:p>
    <w:p w14:paraId="09A642E1" w14:textId="5D6F527E" w:rsidR="002402DE" w:rsidRDefault="006C1E08" w:rsidP="002402DE">
      <w:pPr>
        <w:pStyle w:val="Heading3"/>
      </w:pPr>
      <w:r>
        <w:t>Reference</w:t>
      </w:r>
    </w:p>
    <w:p w14:paraId="5706E03A" w14:textId="77777777" w:rsidR="002402DE" w:rsidRPr="002402DE" w:rsidRDefault="002402DE" w:rsidP="002402DE">
      <w:pPr>
        <w:pStyle w:val="EndNoteBibliography"/>
        <w:spacing w:after="0"/>
        <w:rPr>
          <w:rStyle w:val="SubtleReference"/>
          <w:sz w:val="22"/>
          <w:szCs w:val="20"/>
        </w:rPr>
      </w:pPr>
      <w:r w:rsidRPr="002402DE">
        <w:rPr>
          <w:rStyle w:val="SubtleReference"/>
          <w:sz w:val="22"/>
          <w:szCs w:val="20"/>
        </w:rPr>
        <w:fldChar w:fldCharType="begin"/>
      </w:r>
      <w:r w:rsidRPr="002402DE">
        <w:rPr>
          <w:rStyle w:val="SubtleReference"/>
          <w:sz w:val="22"/>
          <w:szCs w:val="20"/>
        </w:rPr>
        <w:instrText xml:space="preserve"> ADDIN EN.REFLIST </w:instrText>
      </w:r>
      <w:r w:rsidRPr="002402DE">
        <w:rPr>
          <w:rStyle w:val="SubtleReference"/>
          <w:sz w:val="22"/>
          <w:szCs w:val="20"/>
        </w:rPr>
        <w:fldChar w:fldCharType="separate"/>
      </w:r>
      <w:r w:rsidRPr="002402DE">
        <w:rPr>
          <w:rStyle w:val="SubtleReference"/>
          <w:sz w:val="22"/>
          <w:szCs w:val="20"/>
        </w:rPr>
        <w:t>Goodman, S. (2003). "Commentary: The P-value, devalued." Int J Epidemiol 32(5): 699-702.</w:t>
      </w:r>
    </w:p>
    <w:p w14:paraId="2B81471D" w14:textId="77777777" w:rsidR="002402DE" w:rsidRPr="002402DE" w:rsidRDefault="002402DE" w:rsidP="002402DE">
      <w:pPr>
        <w:pStyle w:val="EndNoteBibliography"/>
        <w:spacing w:after="0"/>
        <w:rPr>
          <w:rStyle w:val="SubtleReference"/>
          <w:sz w:val="22"/>
          <w:szCs w:val="20"/>
        </w:rPr>
      </w:pPr>
      <w:r w:rsidRPr="002402DE">
        <w:rPr>
          <w:rStyle w:val="SubtleReference"/>
          <w:sz w:val="22"/>
          <w:szCs w:val="20"/>
        </w:rPr>
        <w:t>Goodman, S. (2008). "A dirty dozen: twelve p-value misconceptions." Semin Hematol 45(3): 135-140.</w:t>
      </w:r>
    </w:p>
    <w:p w14:paraId="2C92A0D5" w14:textId="77777777" w:rsidR="002402DE" w:rsidRPr="002402DE" w:rsidRDefault="002402DE" w:rsidP="002402DE">
      <w:pPr>
        <w:pStyle w:val="EndNoteBibliography"/>
        <w:spacing w:after="0"/>
        <w:rPr>
          <w:rStyle w:val="SubtleReference"/>
          <w:sz w:val="22"/>
          <w:szCs w:val="20"/>
        </w:rPr>
      </w:pPr>
      <w:r w:rsidRPr="002402DE">
        <w:rPr>
          <w:rStyle w:val="SubtleReference"/>
          <w:sz w:val="22"/>
          <w:szCs w:val="20"/>
        </w:rPr>
        <w:t>Goodman, S. N. (1999). "Toward evidence-based medical statistics. 1: The P value fallacy." Ann Intern Med 130(12): 995-1004.</w:t>
      </w:r>
    </w:p>
    <w:p w14:paraId="3A053E7F" w14:textId="77777777" w:rsidR="002402DE" w:rsidRPr="002402DE" w:rsidRDefault="002402DE" w:rsidP="002402DE">
      <w:pPr>
        <w:pStyle w:val="EndNoteBibliography"/>
        <w:rPr>
          <w:rStyle w:val="SubtleReference"/>
          <w:sz w:val="22"/>
          <w:szCs w:val="20"/>
        </w:rPr>
      </w:pPr>
      <w:r w:rsidRPr="002402DE">
        <w:rPr>
          <w:rStyle w:val="SubtleReference"/>
          <w:sz w:val="22"/>
          <w:szCs w:val="20"/>
        </w:rPr>
        <w:t>Goodman, S. N. (1999). "Toward evidence-based medical statistics. 2: The Bayes factor." Ann Intern Med 130(12): 1005-1013.</w:t>
      </w:r>
    </w:p>
    <w:p w14:paraId="5F910DBE" w14:textId="44F8E97C" w:rsidR="006C1E08" w:rsidRPr="006C1E08" w:rsidRDefault="002402DE" w:rsidP="006C1E08">
      <w:r w:rsidRPr="002402DE">
        <w:rPr>
          <w:rStyle w:val="SubtleReference"/>
          <w:sz w:val="22"/>
          <w:szCs w:val="20"/>
        </w:rPr>
        <w:fldChar w:fldCharType="end"/>
      </w:r>
    </w:p>
    <w:sectPr w:rsidR="006C1E08" w:rsidRPr="006C1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46E4"/>
    <w:multiLevelType w:val="hybridMultilevel"/>
    <w:tmpl w:val="3B6CE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5rz005rt0pv26ev0pqxrwe600d9252ep5ww&quot;&gt;Randy&amp;apos;s EndNote Library&lt;record-ids&gt;&lt;item&gt;1&lt;/item&gt;&lt;item&gt;2&lt;/item&gt;&lt;item&gt;14&lt;/item&gt;&lt;item&gt;15&lt;/item&gt;&lt;/record-ids&gt;&lt;/item&gt;&lt;/Libraries&gt;"/>
  </w:docVars>
  <w:rsids>
    <w:rsidRoot w:val="00986FCF"/>
    <w:rsid w:val="000B3119"/>
    <w:rsid w:val="001959B5"/>
    <w:rsid w:val="0020623A"/>
    <w:rsid w:val="002402DE"/>
    <w:rsid w:val="002D70C2"/>
    <w:rsid w:val="00360696"/>
    <w:rsid w:val="0040245F"/>
    <w:rsid w:val="004A71E0"/>
    <w:rsid w:val="004E05DE"/>
    <w:rsid w:val="005B0DFE"/>
    <w:rsid w:val="005E3D22"/>
    <w:rsid w:val="00684606"/>
    <w:rsid w:val="006B1492"/>
    <w:rsid w:val="006C1E08"/>
    <w:rsid w:val="00771504"/>
    <w:rsid w:val="007A224D"/>
    <w:rsid w:val="007F32CF"/>
    <w:rsid w:val="008047E9"/>
    <w:rsid w:val="0092614D"/>
    <w:rsid w:val="00986FCF"/>
    <w:rsid w:val="009F1763"/>
    <w:rsid w:val="00B57497"/>
    <w:rsid w:val="00B70038"/>
    <w:rsid w:val="00C76C2D"/>
    <w:rsid w:val="00CE4659"/>
    <w:rsid w:val="00EF0EA6"/>
    <w:rsid w:val="00F1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741D"/>
  <w15:chartTrackingRefBased/>
  <w15:docId w15:val="{02273ADC-E14C-420E-BB41-CC623FB1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749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6FC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749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02DE"/>
    <w:pPr>
      <w:keepNext/>
      <w:keepLines/>
      <w:spacing w:before="40" w:after="120" w:line="240" w:lineRule="auto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2D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57497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86FCF"/>
    <w:rPr>
      <w:rFonts w:ascii="Times New Roman" w:eastAsiaTheme="majorEastAsia" w:hAnsi="Times New Roman" w:cstheme="majorBidi"/>
      <w:b/>
      <w:sz w:val="36"/>
      <w:szCs w:val="32"/>
    </w:rPr>
  </w:style>
  <w:style w:type="paragraph" w:styleId="ListParagraph">
    <w:name w:val="List Paragraph"/>
    <w:basedOn w:val="Normal"/>
    <w:uiPriority w:val="34"/>
    <w:qFormat/>
    <w:rsid w:val="00986FCF"/>
    <w:pPr>
      <w:spacing w:after="0" w:line="240" w:lineRule="auto"/>
      <w:ind w:left="720"/>
    </w:pPr>
    <w:rPr>
      <w:rFonts w:eastAsia="Times New Roman" w:cs="Times New Roman"/>
      <w:szCs w:val="24"/>
      <w:lang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6C1E08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C1E08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6C1E08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6C1E08"/>
    <w:rPr>
      <w:rFonts w:ascii="Times New Roman" w:hAnsi="Times New Roman" w:cs="Times New Roman"/>
      <w:noProof/>
      <w:sz w:val="24"/>
    </w:rPr>
  </w:style>
  <w:style w:type="character" w:customStyle="1" w:styleId="fontstyle01">
    <w:name w:val="fontstyle01"/>
    <w:basedOn w:val="DefaultParagraphFont"/>
    <w:rsid w:val="0040245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2402DE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King</dc:creator>
  <cp:keywords/>
  <dc:description/>
  <cp:lastModifiedBy>Randy King</cp:lastModifiedBy>
  <cp:revision>7</cp:revision>
  <dcterms:created xsi:type="dcterms:W3CDTF">2019-09-16T01:23:00Z</dcterms:created>
  <dcterms:modified xsi:type="dcterms:W3CDTF">2019-09-24T15:42:00Z</dcterms:modified>
</cp:coreProperties>
</file>