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74DE" w14:textId="1AF2D7E2" w:rsidR="006732EC" w:rsidRDefault="00B85274" w:rsidP="00056062">
      <w:pPr>
        <w:spacing w:line="240" w:lineRule="auto"/>
        <w:rPr>
          <w:rFonts w:ascii="Times New Roman" w:hAnsi="Times New Roman" w:cs="Times New Roman"/>
          <w:sz w:val="24"/>
          <w:szCs w:val="24"/>
        </w:rPr>
      </w:pPr>
      <w:r w:rsidRPr="00056062">
        <w:rPr>
          <w:rFonts w:ascii="Times New Roman" w:hAnsi="Times New Roman" w:cs="Times New Roman"/>
          <w:sz w:val="24"/>
          <w:szCs w:val="24"/>
        </w:rPr>
        <w:t>Nicolas Zaferiou</w:t>
      </w:r>
    </w:p>
    <w:p w14:paraId="7150AF1F" w14:textId="1B42DB2A" w:rsidR="00CB1778" w:rsidRPr="00056062" w:rsidRDefault="00CB1778" w:rsidP="00056062">
      <w:pPr>
        <w:spacing w:line="240" w:lineRule="auto"/>
        <w:rPr>
          <w:rFonts w:ascii="Times New Roman" w:hAnsi="Times New Roman" w:cs="Times New Roman"/>
          <w:sz w:val="24"/>
          <w:szCs w:val="24"/>
        </w:rPr>
      </w:pPr>
      <w:r>
        <w:rPr>
          <w:rFonts w:ascii="Times New Roman" w:hAnsi="Times New Roman" w:cs="Times New Roman"/>
          <w:sz w:val="24"/>
          <w:szCs w:val="24"/>
        </w:rPr>
        <w:t>September 15</w:t>
      </w:r>
      <w:r w:rsidRPr="00CB1778">
        <w:rPr>
          <w:rFonts w:ascii="Times New Roman" w:hAnsi="Times New Roman" w:cs="Times New Roman"/>
          <w:sz w:val="24"/>
          <w:szCs w:val="24"/>
          <w:vertAlign w:val="superscript"/>
        </w:rPr>
        <w:t>th</w:t>
      </w:r>
      <w:r>
        <w:rPr>
          <w:rFonts w:ascii="Times New Roman" w:hAnsi="Times New Roman" w:cs="Times New Roman"/>
          <w:sz w:val="24"/>
          <w:szCs w:val="24"/>
        </w:rPr>
        <w:t>, 2021</w:t>
      </w:r>
    </w:p>
    <w:p w14:paraId="433201EC" w14:textId="6B8F3C6F" w:rsidR="005005D2" w:rsidRDefault="00805A1C" w:rsidP="00056062">
      <w:pPr>
        <w:spacing w:line="240" w:lineRule="auto"/>
        <w:rPr>
          <w:rFonts w:ascii="Times New Roman" w:hAnsi="Times New Roman" w:cs="Times New Roman"/>
          <w:sz w:val="24"/>
          <w:szCs w:val="24"/>
        </w:rPr>
      </w:pPr>
      <w:r w:rsidRPr="00056062">
        <w:rPr>
          <w:rFonts w:ascii="Times New Roman" w:hAnsi="Times New Roman" w:cs="Times New Roman"/>
          <w:i/>
          <w:iCs/>
          <w:sz w:val="24"/>
          <w:szCs w:val="24"/>
        </w:rPr>
        <w:t>Financials</w:t>
      </w:r>
    </w:p>
    <w:p w14:paraId="79786620" w14:textId="77777777" w:rsidR="00CB1778" w:rsidRPr="00CB1778" w:rsidRDefault="00CB1778" w:rsidP="00056062">
      <w:pPr>
        <w:spacing w:line="240" w:lineRule="auto"/>
        <w:rPr>
          <w:rFonts w:ascii="Times New Roman" w:hAnsi="Times New Roman" w:cs="Times New Roman"/>
          <w:sz w:val="2"/>
          <w:szCs w:val="2"/>
        </w:rPr>
      </w:pPr>
    </w:p>
    <w:p w14:paraId="13901168" w14:textId="77777777" w:rsidR="00774A48" w:rsidRPr="00056062" w:rsidRDefault="00774A48" w:rsidP="00F62718">
      <w:pPr>
        <w:spacing w:line="240" w:lineRule="auto"/>
        <w:rPr>
          <w:rFonts w:ascii="Times New Roman" w:eastAsia="Times New Roman" w:hAnsi="Times New Roman" w:cs="Times New Roman"/>
          <w:sz w:val="24"/>
          <w:szCs w:val="24"/>
        </w:rPr>
      </w:pPr>
      <w:r w:rsidRPr="00056062">
        <w:rPr>
          <w:rFonts w:ascii="Times New Roman" w:eastAsia="Times New Roman" w:hAnsi="Times New Roman" w:cs="Times New Roman"/>
          <w:b/>
          <w:bCs/>
          <w:i/>
          <w:iCs/>
          <w:color w:val="000000"/>
          <w:sz w:val="24"/>
          <w:szCs w:val="24"/>
          <w:shd w:val="clear" w:color="auto" w:fill="FFFFFF"/>
        </w:rPr>
        <w:t>PRICE MOVEMENTS:</w:t>
      </w:r>
    </w:p>
    <w:tbl>
      <w:tblPr>
        <w:tblW w:w="9391" w:type="dxa"/>
        <w:tblLook w:val="04A0" w:firstRow="1" w:lastRow="0" w:firstColumn="1" w:lastColumn="0" w:noHBand="0" w:noVBand="1"/>
      </w:tblPr>
      <w:tblGrid>
        <w:gridCol w:w="1186"/>
        <w:gridCol w:w="3183"/>
        <w:gridCol w:w="3043"/>
        <w:gridCol w:w="1979"/>
      </w:tblGrid>
      <w:tr w:rsidR="00042487" w:rsidRPr="00056062" w14:paraId="1205BDB3" w14:textId="77777777" w:rsidTr="005005D2">
        <w:trPr>
          <w:trHeight w:val="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5E6826" w14:textId="77777777"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CE3E38" w14:textId="43CE22F0"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b/>
                <w:bCs/>
                <w:color w:val="000000"/>
                <w:sz w:val="24"/>
                <w:szCs w:val="24"/>
                <w:u w:val="single"/>
                <w:shd w:val="clear" w:color="auto" w:fill="FFFFFF"/>
              </w:rPr>
              <w:t>Closing Price 9/14/21</w:t>
            </w:r>
          </w:p>
        </w:tc>
        <w:tc>
          <w:tcPr>
            <w:tcW w:w="0" w:type="auto"/>
            <w:tcBorders>
              <w:top w:val="single" w:sz="8" w:space="0" w:color="FFFFFF"/>
              <w:left w:val="single" w:sz="8" w:space="0" w:color="FFFFFF"/>
              <w:bottom w:val="single" w:sz="8" w:space="0" w:color="FFFFFF"/>
              <w:right w:val="single" w:sz="8" w:space="0" w:color="FFFFFF"/>
            </w:tcBorders>
          </w:tcPr>
          <w:p w14:paraId="25FE19E0" w14:textId="33E85FB4" w:rsidR="00042487" w:rsidRPr="00056062" w:rsidRDefault="00042487" w:rsidP="00F62718">
            <w:pPr>
              <w:spacing w:after="0" w:line="240" w:lineRule="auto"/>
              <w:jc w:val="center"/>
              <w:rPr>
                <w:rFonts w:ascii="Times New Roman" w:eastAsia="Times New Roman" w:hAnsi="Times New Roman" w:cs="Times New Roman"/>
                <w:b/>
                <w:bCs/>
                <w:color w:val="000000"/>
                <w:sz w:val="24"/>
                <w:szCs w:val="24"/>
                <w:u w:val="single"/>
                <w:shd w:val="clear" w:color="auto" w:fill="FFFFFF"/>
              </w:rPr>
            </w:pPr>
            <w:r w:rsidRPr="00056062">
              <w:rPr>
                <w:rFonts w:ascii="Times New Roman" w:eastAsia="Times New Roman" w:hAnsi="Times New Roman" w:cs="Times New Roman"/>
                <w:b/>
                <w:bCs/>
                <w:color w:val="000000"/>
                <w:sz w:val="24"/>
                <w:szCs w:val="24"/>
                <w:u w:val="single"/>
                <w:shd w:val="clear" w:color="auto" w:fill="FFFFFF"/>
              </w:rPr>
              <w:t>Closing Price 9/7/21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B35979A" w14:textId="3B3C7BB7"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b/>
                <w:bCs/>
                <w:color w:val="000000"/>
                <w:sz w:val="24"/>
                <w:szCs w:val="24"/>
                <w:u w:val="single"/>
                <w:shd w:val="clear" w:color="auto" w:fill="FFFFFF"/>
              </w:rPr>
              <w:t xml:space="preserve">Δ from </w:t>
            </w:r>
            <w:r w:rsidR="0014705F">
              <w:rPr>
                <w:rFonts w:ascii="Times New Roman" w:eastAsia="Times New Roman" w:hAnsi="Times New Roman" w:cs="Times New Roman"/>
                <w:b/>
                <w:bCs/>
                <w:color w:val="000000"/>
                <w:sz w:val="24"/>
                <w:szCs w:val="24"/>
                <w:u w:val="single"/>
                <w:shd w:val="clear" w:color="auto" w:fill="FFFFFF"/>
              </w:rPr>
              <w:t>9</w:t>
            </w:r>
            <w:r w:rsidRPr="00056062">
              <w:rPr>
                <w:rFonts w:ascii="Times New Roman" w:eastAsia="Times New Roman" w:hAnsi="Times New Roman" w:cs="Times New Roman"/>
                <w:b/>
                <w:bCs/>
                <w:color w:val="000000"/>
                <w:sz w:val="24"/>
                <w:szCs w:val="24"/>
                <w:u w:val="single"/>
                <w:shd w:val="clear" w:color="auto" w:fill="FFFFFF"/>
              </w:rPr>
              <w:t>/</w:t>
            </w:r>
            <w:r w:rsidR="0014705F">
              <w:rPr>
                <w:rFonts w:ascii="Times New Roman" w:eastAsia="Times New Roman" w:hAnsi="Times New Roman" w:cs="Times New Roman"/>
                <w:b/>
                <w:bCs/>
                <w:color w:val="000000"/>
                <w:sz w:val="24"/>
                <w:szCs w:val="24"/>
                <w:u w:val="single"/>
                <w:shd w:val="clear" w:color="auto" w:fill="FFFFFF"/>
              </w:rPr>
              <w:t>7</w:t>
            </w:r>
          </w:p>
        </w:tc>
      </w:tr>
      <w:tr w:rsidR="00042487" w:rsidRPr="00056062" w14:paraId="2B79A2A6" w14:textId="77777777" w:rsidTr="005005D2">
        <w:trPr>
          <w:trHeight w:val="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4B2BD6" w14:textId="0D9C7ACA" w:rsidR="00042487" w:rsidRPr="00056062" w:rsidRDefault="00042487" w:rsidP="00F62718">
            <w:pPr>
              <w:spacing w:after="0" w:line="240" w:lineRule="auto"/>
              <w:jc w:val="center"/>
              <w:rPr>
                <w:rFonts w:ascii="Times New Roman" w:eastAsia="Times New Roman" w:hAnsi="Times New Roman" w:cs="Times New Roman"/>
                <w:color w:val="000000"/>
                <w:sz w:val="24"/>
                <w:szCs w:val="24"/>
                <w:shd w:val="clear" w:color="auto" w:fill="FFFFFF"/>
              </w:rPr>
            </w:pPr>
            <w:r w:rsidRPr="00056062">
              <w:rPr>
                <w:rFonts w:ascii="Times New Roman" w:eastAsia="Times New Roman" w:hAnsi="Times New Roman" w:cs="Times New Roman"/>
                <w:color w:val="000000"/>
                <w:sz w:val="24"/>
                <w:szCs w:val="24"/>
                <w:shd w:val="clear" w:color="auto" w:fill="FFFFFF"/>
              </w:rPr>
              <w:t>MA</w:t>
            </w:r>
            <w:r w:rsidRPr="00056062">
              <w:rPr>
                <w:rFonts w:ascii="Times New Roman" w:eastAsia="Times New Roman" w:hAnsi="Times New Roman" w:cs="Times New Roman"/>
                <w:color w:val="000000"/>
                <w:sz w:val="24"/>
                <w:szCs w:val="24"/>
                <w:shd w:val="clear" w:color="auto" w:fill="FFFFFF"/>
              </w:rPr>
              <w:br/>
            </w:r>
            <w:r w:rsidRPr="00056062">
              <w:rPr>
                <w:rFonts w:ascii="Times New Roman" w:eastAsia="Times New Roman" w:hAnsi="Times New Roman" w:cs="Times New Roman"/>
                <w:color w:val="000000"/>
                <w:sz w:val="24"/>
                <w:szCs w:val="24"/>
                <w:shd w:val="clear" w:color="auto" w:fill="FFFFFF"/>
              </w:rPr>
              <w:br/>
              <w:t>CB</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919E918" w14:textId="7FD35818" w:rsidR="00042487" w:rsidRDefault="00C54784" w:rsidP="00F62718">
            <w:pPr>
              <w:spacing w:after="0" w:line="240" w:lineRule="auto"/>
              <w:jc w:val="center"/>
              <w:rPr>
                <w:rFonts w:ascii="Times New Roman" w:eastAsia="Times New Roman" w:hAnsi="Times New Roman" w:cs="Times New Roman"/>
                <w:color w:val="000000"/>
                <w:sz w:val="24"/>
                <w:szCs w:val="24"/>
                <w:highlight w:val="yellow"/>
                <w:shd w:val="clear" w:color="auto" w:fill="FFFFFF"/>
              </w:rPr>
            </w:pPr>
            <w:r w:rsidRPr="00C54784">
              <w:rPr>
                <w:rFonts w:ascii="Times New Roman" w:eastAsia="Times New Roman" w:hAnsi="Times New Roman" w:cs="Times New Roman"/>
                <w:color w:val="000000"/>
                <w:sz w:val="24"/>
                <w:szCs w:val="24"/>
                <w:shd w:val="clear" w:color="auto" w:fill="FFFFFF"/>
              </w:rPr>
              <w:t>345.80</w:t>
            </w:r>
          </w:p>
          <w:p w14:paraId="4CA8A3EC" w14:textId="77777777" w:rsidR="00C54784" w:rsidRPr="00056062" w:rsidRDefault="00C54784" w:rsidP="00F62718">
            <w:pPr>
              <w:spacing w:after="0" w:line="240" w:lineRule="auto"/>
              <w:jc w:val="center"/>
              <w:rPr>
                <w:rFonts w:ascii="Times New Roman" w:eastAsia="Times New Roman" w:hAnsi="Times New Roman" w:cs="Times New Roman"/>
                <w:color w:val="000000"/>
                <w:sz w:val="24"/>
                <w:szCs w:val="24"/>
                <w:highlight w:val="yellow"/>
                <w:shd w:val="clear" w:color="auto" w:fill="FFFFFF"/>
              </w:rPr>
            </w:pPr>
          </w:p>
          <w:p w14:paraId="3BDD5FDF" w14:textId="09A0A688" w:rsidR="00042487" w:rsidRPr="00056062" w:rsidRDefault="00C54784" w:rsidP="00F62718">
            <w:pPr>
              <w:spacing w:after="0" w:line="240" w:lineRule="auto"/>
              <w:jc w:val="center"/>
              <w:rPr>
                <w:rFonts w:ascii="Times New Roman" w:eastAsia="Times New Roman" w:hAnsi="Times New Roman" w:cs="Times New Roman"/>
                <w:color w:val="000000"/>
                <w:sz w:val="24"/>
                <w:szCs w:val="24"/>
                <w:highlight w:val="yellow"/>
                <w:shd w:val="clear" w:color="auto" w:fill="FFFFFF"/>
              </w:rPr>
            </w:pPr>
            <w:r w:rsidRPr="00C54784">
              <w:rPr>
                <w:rFonts w:ascii="Times New Roman" w:eastAsia="Times New Roman" w:hAnsi="Times New Roman" w:cs="Times New Roman"/>
                <w:color w:val="000000"/>
                <w:sz w:val="24"/>
                <w:szCs w:val="24"/>
                <w:shd w:val="clear" w:color="auto" w:fill="FFFFFF"/>
              </w:rPr>
              <w:t>181.28</w:t>
            </w:r>
          </w:p>
        </w:tc>
        <w:tc>
          <w:tcPr>
            <w:tcW w:w="0" w:type="auto"/>
            <w:tcBorders>
              <w:top w:val="single" w:sz="8" w:space="0" w:color="FFFFFF"/>
              <w:left w:val="single" w:sz="8" w:space="0" w:color="FFFFFF"/>
              <w:bottom w:val="single" w:sz="8" w:space="0" w:color="FFFFFF"/>
              <w:right w:val="single" w:sz="8" w:space="0" w:color="FFFFFF"/>
            </w:tcBorders>
          </w:tcPr>
          <w:p w14:paraId="4D8DFF1C" w14:textId="77777777" w:rsidR="00042487" w:rsidRPr="00056062" w:rsidRDefault="00042487" w:rsidP="00F62718">
            <w:pPr>
              <w:spacing w:after="0" w:line="240" w:lineRule="auto"/>
              <w:jc w:val="center"/>
              <w:rPr>
                <w:rFonts w:ascii="Times New Roman" w:eastAsia="Times New Roman" w:hAnsi="Times New Roman" w:cs="Times New Roman"/>
                <w:sz w:val="24"/>
                <w:szCs w:val="24"/>
                <w:shd w:val="clear" w:color="auto" w:fill="FFFFFF"/>
              </w:rPr>
            </w:pPr>
            <w:r w:rsidRPr="00056062">
              <w:rPr>
                <w:rFonts w:ascii="Times New Roman" w:eastAsia="Times New Roman" w:hAnsi="Times New Roman" w:cs="Times New Roman"/>
                <w:sz w:val="24"/>
                <w:szCs w:val="24"/>
                <w:shd w:val="clear" w:color="auto" w:fill="FFFFFF"/>
              </w:rPr>
              <w:t>344.71</w:t>
            </w:r>
            <w:r w:rsidRPr="00056062">
              <w:rPr>
                <w:rFonts w:ascii="Times New Roman" w:eastAsia="Times New Roman" w:hAnsi="Times New Roman" w:cs="Times New Roman"/>
                <w:sz w:val="24"/>
                <w:szCs w:val="24"/>
                <w:shd w:val="clear" w:color="auto" w:fill="FFFFFF"/>
              </w:rPr>
              <w:tab/>
            </w:r>
          </w:p>
          <w:p w14:paraId="7142C938" w14:textId="77777777" w:rsidR="00042487" w:rsidRPr="00056062" w:rsidRDefault="00042487" w:rsidP="00F62718">
            <w:pPr>
              <w:spacing w:after="0" w:line="240" w:lineRule="auto"/>
              <w:jc w:val="center"/>
              <w:rPr>
                <w:rFonts w:ascii="Times New Roman" w:eastAsia="Times New Roman" w:hAnsi="Times New Roman" w:cs="Times New Roman"/>
                <w:sz w:val="24"/>
                <w:szCs w:val="24"/>
                <w:shd w:val="clear" w:color="auto" w:fill="FFFFFF"/>
              </w:rPr>
            </w:pPr>
          </w:p>
          <w:p w14:paraId="6DF3A764" w14:textId="05FDF3C6" w:rsidR="00042487" w:rsidRPr="00056062" w:rsidRDefault="00042487" w:rsidP="00F62718">
            <w:pPr>
              <w:spacing w:after="0" w:line="240" w:lineRule="auto"/>
              <w:jc w:val="center"/>
              <w:rPr>
                <w:rFonts w:ascii="Times New Roman" w:eastAsia="Times New Roman" w:hAnsi="Times New Roman" w:cs="Times New Roman"/>
                <w:sz w:val="24"/>
                <w:szCs w:val="24"/>
                <w:shd w:val="clear" w:color="auto" w:fill="FFFFFF"/>
              </w:rPr>
            </w:pPr>
            <w:r w:rsidRPr="00056062">
              <w:rPr>
                <w:rFonts w:ascii="Times New Roman" w:eastAsia="Times New Roman" w:hAnsi="Times New Roman" w:cs="Times New Roman"/>
                <w:sz w:val="24"/>
                <w:szCs w:val="24"/>
                <w:shd w:val="clear" w:color="auto" w:fill="FFFFFF"/>
              </w:rPr>
              <w:t>181.77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5CD976B" w14:textId="414F7D24" w:rsidR="00042487" w:rsidRPr="00193E77" w:rsidRDefault="00042487" w:rsidP="00F62718">
            <w:pPr>
              <w:spacing w:after="0" w:line="240" w:lineRule="auto"/>
              <w:jc w:val="center"/>
              <w:rPr>
                <w:rFonts w:ascii="Times New Roman" w:eastAsia="Times New Roman" w:hAnsi="Times New Roman" w:cs="Times New Roman"/>
                <w:color w:val="00B050"/>
                <w:sz w:val="24"/>
                <w:szCs w:val="24"/>
                <w:shd w:val="clear" w:color="auto" w:fill="FFFFFF"/>
              </w:rPr>
            </w:pPr>
            <w:r w:rsidRPr="00193E77">
              <w:rPr>
                <w:rFonts w:ascii="Times New Roman" w:eastAsia="Times New Roman" w:hAnsi="Times New Roman" w:cs="Times New Roman"/>
                <w:color w:val="00B050"/>
                <w:sz w:val="24"/>
                <w:szCs w:val="24"/>
                <w:shd w:val="clear" w:color="auto" w:fill="FFFFFF"/>
              </w:rPr>
              <w:t>U</w:t>
            </w:r>
            <w:r w:rsidR="00193E77">
              <w:rPr>
                <w:rFonts w:ascii="Times New Roman" w:eastAsia="Times New Roman" w:hAnsi="Times New Roman" w:cs="Times New Roman"/>
                <w:color w:val="00B050"/>
                <w:sz w:val="24"/>
                <w:szCs w:val="24"/>
                <w:shd w:val="clear" w:color="auto" w:fill="FFFFFF"/>
              </w:rPr>
              <w:t>p</w:t>
            </w:r>
            <w:r w:rsidRPr="00193E77">
              <w:rPr>
                <w:rFonts w:ascii="Times New Roman" w:eastAsia="Times New Roman" w:hAnsi="Times New Roman" w:cs="Times New Roman"/>
                <w:color w:val="00B050"/>
                <w:sz w:val="24"/>
                <w:szCs w:val="24"/>
                <w:shd w:val="clear" w:color="auto" w:fill="FFFFFF"/>
              </w:rPr>
              <w:t xml:space="preserve"> </w:t>
            </w:r>
            <w:r w:rsidR="00193E77" w:rsidRPr="00193E77">
              <w:rPr>
                <w:rFonts w:ascii="Times New Roman" w:eastAsia="Times New Roman" w:hAnsi="Times New Roman" w:cs="Times New Roman"/>
                <w:color w:val="00B050"/>
                <w:sz w:val="24"/>
                <w:szCs w:val="24"/>
                <w:shd w:val="clear" w:color="auto" w:fill="FFFFFF"/>
              </w:rPr>
              <w:t>0.</w:t>
            </w:r>
            <w:r w:rsidRPr="00193E77">
              <w:rPr>
                <w:rFonts w:ascii="Times New Roman" w:eastAsia="Times New Roman" w:hAnsi="Times New Roman" w:cs="Times New Roman"/>
                <w:color w:val="00B050"/>
                <w:sz w:val="24"/>
                <w:szCs w:val="24"/>
                <w:shd w:val="clear" w:color="auto" w:fill="FFFFFF"/>
              </w:rPr>
              <w:t>3</w:t>
            </w:r>
            <w:r w:rsidR="00193E77" w:rsidRPr="00193E77">
              <w:rPr>
                <w:rFonts w:ascii="Times New Roman" w:eastAsia="Times New Roman" w:hAnsi="Times New Roman" w:cs="Times New Roman"/>
                <w:color w:val="00B050"/>
                <w:sz w:val="24"/>
                <w:szCs w:val="24"/>
                <w:shd w:val="clear" w:color="auto" w:fill="FFFFFF"/>
              </w:rPr>
              <w:t>2</w:t>
            </w:r>
            <w:r w:rsidRPr="00193E77">
              <w:rPr>
                <w:rFonts w:ascii="Times New Roman" w:eastAsia="Times New Roman" w:hAnsi="Times New Roman" w:cs="Times New Roman"/>
                <w:color w:val="00B050"/>
                <w:sz w:val="24"/>
                <w:szCs w:val="24"/>
                <w:shd w:val="clear" w:color="auto" w:fill="FFFFFF"/>
              </w:rPr>
              <w:t>%</w:t>
            </w:r>
          </w:p>
          <w:p w14:paraId="6F0FF5AA" w14:textId="77777777" w:rsidR="00042487" w:rsidRPr="00193E77" w:rsidRDefault="00042487" w:rsidP="00F62718">
            <w:pPr>
              <w:spacing w:after="0" w:line="240" w:lineRule="auto"/>
              <w:jc w:val="center"/>
              <w:rPr>
                <w:rFonts w:ascii="Times New Roman" w:eastAsia="Times New Roman" w:hAnsi="Times New Roman" w:cs="Times New Roman"/>
                <w:color w:val="00B050"/>
                <w:sz w:val="24"/>
                <w:szCs w:val="24"/>
                <w:shd w:val="clear" w:color="auto" w:fill="FFFFFF"/>
              </w:rPr>
            </w:pPr>
          </w:p>
          <w:p w14:paraId="36B3D185" w14:textId="02012C68" w:rsidR="00042487" w:rsidRPr="00193E77" w:rsidRDefault="00193E77" w:rsidP="00F62718">
            <w:pPr>
              <w:spacing w:after="0" w:line="240" w:lineRule="auto"/>
              <w:jc w:val="center"/>
              <w:rPr>
                <w:rFonts w:ascii="Times New Roman" w:eastAsia="Times New Roman" w:hAnsi="Times New Roman" w:cs="Times New Roman"/>
                <w:color w:val="000000"/>
                <w:sz w:val="24"/>
                <w:szCs w:val="24"/>
                <w:shd w:val="clear" w:color="auto" w:fill="FFFFFF"/>
              </w:rPr>
            </w:pPr>
            <w:r w:rsidRPr="00193E77">
              <w:rPr>
                <w:rFonts w:ascii="Times New Roman" w:eastAsia="Times New Roman" w:hAnsi="Times New Roman" w:cs="Times New Roman"/>
                <w:color w:val="FF0000"/>
                <w:sz w:val="24"/>
                <w:szCs w:val="24"/>
                <w:shd w:val="clear" w:color="auto" w:fill="FFFFFF"/>
              </w:rPr>
              <w:t>Down</w:t>
            </w:r>
            <w:r w:rsidR="00042487" w:rsidRPr="00193E77">
              <w:rPr>
                <w:rFonts w:ascii="Times New Roman" w:eastAsia="Times New Roman" w:hAnsi="Times New Roman" w:cs="Times New Roman"/>
                <w:color w:val="FF0000"/>
                <w:sz w:val="24"/>
                <w:szCs w:val="24"/>
                <w:shd w:val="clear" w:color="auto" w:fill="FFFFFF"/>
              </w:rPr>
              <w:t xml:space="preserve"> </w:t>
            </w:r>
            <w:r w:rsidRPr="00193E77">
              <w:rPr>
                <w:rFonts w:ascii="Times New Roman" w:eastAsia="Times New Roman" w:hAnsi="Times New Roman" w:cs="Times New Roman"/>
                <w:color w:val="FF0000"/>
                <w:sz w:val="24"/>
                <w:szCs w:val="24"/>
                <w:shd w:val="clear" w:color="auto" w:fill="FFFFFF"/>
              </w:rPr>
              <w:t>0.27</w:t>
            </w:r>
            <w:r w:rsidR="00042487" w:rsidRPr="00193E77">
              <w:rPr>
                <w:rFonts w:ascii="Times New Roman" w:eastAsia="Times New Roman" w:hAnsi="Times New Roman" w:cs="Times New Roman"/>
                <w:color w:val="FF0000"/>
                <w:sz w:val="24"/>
                <w:szCs w:val="24"/>
                <w:shd w:val="clear" w:color="auto" w:fill="FFFFFF"/>
              </w:rPr>
              <w:t>%</w:t>
            </w:r>
          </w:p>
        </w:tc>
      </w:tr>
      <w:tr w:rsidR="00042487" w:rsidRPr="00056062" w14:paraId="2A6A3FF5" w14:textId="77777777" w:rsidTr="005005D2">
        <w:trPr>
          <w:trHeight w:val="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4619125" w14:textId="3C409934" w:rsidR="00042487" w:rsidRPr="00056062" w:rsidRDefault="00042487" w:rsidP="00F62718">
            <w:pPr>
              <w:spacing w:after="0" w:line="240" w:lineRule="auto"/>
              <w:jc w:val="center"/>
              <w:rPr>
                <w:rFonts w:ascii="Times New Roman" w:eastAsia="Times New Roman" w:hAnsi="Times New Roman" w:cs="Times New Roman"/>
                <w:color w:val="000000"/>
                <w:sz w:val="24"/>
                <w:szCs w:val="24"/>
                <w:shd w:val="clear" w:color="auto" w:fill="FFFFFF"/>
              </w:rPr>
            </w:pPr>
            <w:r w:rsidRPr="00056062">
              <w:rPr>
                <w:rFonts w:ascii="Times New Roman" w:eastAsia="Times New Roman" w:hAnsi="Times New Roman" w:cs="Times New Roman"/>
                <w:color w:val="000000"/>
                <w:sz w:val="24"/>
                <w:szCs w:val="24"/>
                <w:shd w:val="clear" w:color="auto" w:fill="FFFFFF"/>
              </w:rPr>
              <w:t>VIRT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E0A2649" w14:textId="131CD0FC" w:rsidR="00042487" w:rsidRPr="00056062" w:rsidRDefault="00C54784" w:rsidP="00F62718">
            <w:pPr>
              <w:spacing w:after="0" w:line="240" w:lineRule="auto"/>
              <w:jc w:val="center"/>
              <w:rPr>
                <w:rFonts w:ascii="Times New Roman" w:eastAsia="Times New Roman" w:hAnsi="Times New Roman" w:cs="Times New Roman"/>
                <w:color w:val="000000"/>
                <w:sz w:val="24"/>
                <w:szCs w:val="24"/>
                <w:highlight w:val="yellow"/>
                <w:shd w:val="clear" w:color="auto" w:fill="FFFFFF"/>
              </w:rPr>
            </w:pPr>
            <w:r w:rsidRPr="00C54784">
              <w:rPr>
                <w:rFonts w:ascii="Times New Roman" w:eastAsia="Times New Roman" w:hAnsi="Times New Roman" w:cs="Times New Roman"/>
                <w:color w:val="000000"/>
                <w:sz w:val="24"/>
                <w:szCs w:val="24"/>
                <w:shd w:val="clear" w:color="auto" w:fill="FFFFFF"/>
              </w:rPr>
              <w:t>24.10</w:t>
            </w:r>
          </w:p>
        </w:tc>
        <w:tc>
          <w:tcPr>
            <w:tcW w:w="0" w:type="auto"/>
            <w:tcBorders>
              <w:top w:val="single" w:sz="8" w:space="0" w:color="FFFFFF"/>
              <w:left w:val="single" w:sz="8" w:space="0" w:color="FFFFFF"/>
              <w:bottom w:val="single" w:sz="8" w:space="0" w:color="FFFFFF"/>
              <w:right w:val="single" w:sz="8" w:space="0" w:color="FFFFFF"/>
            </w:tcBorders>
          </w:tcPr>
          <w:p w14:paraId="6733AD6E" w14:textId="35A0BD7F"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24.06</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6BA373" w14:textId="36F845D6" w:rsidR="00042487" w:rsidRPr="00193E77" w:rsidRDefault="00193E77" w:rsidP="00F62718">
            <w:pPr>
              <w:spacing w:after="0" w:line="240" w:lineRule="auto"/>
              <w:jc w:val="center"/>
              <w:rPr>
                <w:rFonts w:ascii="Times New Roman" w:eastAsia="Times New Roman" w:hAnsi="Times New Roman" w:cs="Times New Roman"/>
                <w:color w:val="FF0000"/>
                <w:sz w:val="24"/>
                <w:szCs w:val="24"/>
                <w:shd w:val="clear" w:color="auto" w:fill="FFFFFF"/>
              </w:rPr>
            </w:pPr>
            <w:r w:rsidRPr="00193E77">
              <w:rPr>
                <w:rFonts w:ascii="Times New Roman" w:eastAsia="Times New Roman" w:hAnsi="Times New Roman" w:cs="Times New Roman"/>
                <w:color w:val="00B050"/>
                <w:sz w:val="24"/>
                <w:szCs w:val="24"/>
              </w:rPr>
              <w:t>Up</w:t>
            </w:r>
            <w:r w:rsidR="00042487" w:rsidRPr="00193E77">
              <w:rPr>
                <w:rFonts w:ascii="Times New Roman" w:eastAsia="Times New Roman" w:hAnsi="Times New Roman" w:cs="Times New Roman"/>
                <w:color w:val="00B050"/>
                <w:sz w:val="24"/>
                <w:szCs w:val="24"/>
              </w:rPr>
              <w:t xml:space="preserve"> </w:t>
            </w:r>
            <w:r w:rsidRPr="00193E77">
              <w:rPr>
                <w:rFonts w:ascii="Times New Roman" w:eastAsia="Times New Roman" w:hAnsi="Times New Roman" w:cs="Times New Roman"/>
                <w:color w:val="00B050"/>
                <w:sz w:val="24"/>
                <w:szCs w:val="24"/>
              </w:rPr>
              <w:t>0.17</w:t>
            </w:r>
            <w:r w:rsidR="00042487" w:rsidRPr="00193E77">
              <w:rPr>
                <w:rFonts w:ascii="Times New Roman" w:eastAsia="Times New Roman" w:hAnsi="Times New Roman" w:cs="Times New Roman"/>
                <w:color w:val="00B050"/>
                <w:sz w:val="24"/>
                <w:szCs w:val="24"/>
              </w:rPr>
              <w:t>%</w:t>
            </w:r>
          </w:p>
        </w:tc>
      </w:tr>
      <w:tr w:rsidR="00042487" w:rsidRPr="00056062" w14:paraId="7B248FF5" w14:textId="77777777" w:rsidTr="005005D2">
        <w:trPr>
          <w:trHeight w:val="88"/>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EAC018" w14:textId="77777777"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3D80993" w14:textId="49486A8D" w:rsidR="00042487" w:rsidRPr="00056062" w:rsidRDefault="00C54784" w:rsidP="00F62718">
            <w:pPr>
              <w:spacing w:after="0" w:line="240" w:lineRule="auto"/>
              <w:jc w:val="center"/>
              <w:rPr>
                <w:rFonts w:ascii="Times New Roman" w:eastAsia="Times New Roman" w:hAnsi="Times New Roman" w:cs="Times New Roman"/>
                <w:sz w:val="24"/>
                <w:szCs w:val="24"/>
                <w:highlight w:val="yellow"/>
              </w:rPr>
            </w:pPr>
            <w:r w:rsidRPr="00C54784">
              <w:rPr>
                <w:rFonts w:ascii="Times New Roman" w:eastAsia="Times New Roman" w:hAnsi="Times New Roman" w:cs="Times New Roman"/>
                <w:sz w:val="24"/>
                <w:szCs w:val="24"/>
              </w:rPr>
              <w:t>68.78</w:t>
            </w:r>
          </w:p>
        </w:tc>
        <w:tc>
          <w:tcPr>
            <w:tcW w:w="0" w:type="auto"/>
            <w:tcBorders>
              <w:top w:val="single" w:sz="8" w:space="0" w:color="FFFFFF"/>
              <w:left w:val="single" w:sz="8" w:space="0" w:color="FFFFFF"/>
              <w:bottom w:val="single" w:sz="8" w:space="0" w:color="FFFFFF"/>
              <w:right w:val="single" w:sz="8" w:space="0" w:color="FFFFFF"/>
            </w:tcBorders>
          </w:tcPr>
          <w:p w14:paraId="7B1837CB" w14:textId="1FA5A90C"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70.82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1F4105D" w14:textId="087CCA41" w:rsidR="00042487" w:rsidRPr="00193E77" w:rsidRDefault="00193E77" w:rsidP="00F62718">
            <w:pPr>
              <w:spacing w:after="0" w:line="240" w:lineRule="auto"/>
              <w:jc w:val="center"/>
              <w:rPr>
                <w:rFonts w:ascii="Times New Roman" w:eastAsia="Times New Roman" w:hAnsi="Times New Roman" w:cs="Times New Roman"/>
                <w:color w:val="00B050"/>
                <w:sz w:val="24"/>
                <w:szCs w:val="24"/>
              </w:rPr>
            </w:pPr>
            <w:r>
              <w:rPr>
                <w:rFonts w:ascii="Times New Roman" w:eastAsia="Times New Roman" w:hAnsi="Times New Roman" w:cs="Times New Roman"/>
                <w:color w:val="FF0000"/>
                <w:sz w:val="24"/>
                <w:szCs w:val="24"/>
              </w:rPr>
              <w:t>Down</w:t>
            </w:r>
            <w:r w:rsidR="00042487" w:rsidRPr="00193E7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2.88</w:t>
            </w:r>
            <w:r w:rsidR="00042487" w:rsidRPr="00193E77">
              <w:rPr>
                <w:rFonts w:ascii="Times New Roman" w:eastAsia="Times New Roman" w:hAnsi="Times New Roman" w:cs="Times New Roman"/>
                <w:color w:val="FF0000"/>
                <w:sz w:val="24"/>
                <w:szCs w:val="24"/>
              </w:rPr>
              <w:t>%</w:t>
            </w:r>
          </w:p>
        </w:tc>
      </w:tr>
      <w:tr w:rsidR="00042487" w:rsidRPr="00056062" w14:paraId="7E3EFD9C" w14:textId="77777777" w:rsidTr="005005D2">
        <w:trPr>
          <w:trHeight w:val="88"/>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B3917B" w14:textId="77777777"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MS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7E0EFAE" w14:textId="45133016" w:rsidR="00042487" w:rsidRPr="00056062" w:rsidRDefault="00C54784" w:rsidP="00F62718">
            <w:pPr>
              <w:spacing w:after="0" w:line="240" w:lineRule="auto"/>
              <w:jc w:val="center"/>
              <w:rPr>
                <w:rFonts w:ascii="Times New Roman" w:eastAsia="Times New Roman" w:hAnsi="Times New Roman" w:cs="Times New Roman"/>
                <w:sz w:val="24"/>
                <w:szCs w:val="24"/>
                <w:highlight w:val="yellow"/>
              </w:rPr>
            </w:pPr>
            <w:r w:rsidRPr="00C54784">
              <w:rPr>
                <w:rFonts w:ascii="Times New Roman" w:eastAsia="Times New Roman" w:hAnsi="Times New Roman" w:cs="Times New Roman"/>
                <w:sz w:val="24"/>
                <w:szCs w:val="24"/>
              </w:rPr>
              <w:t>101.91</w:t>
            </w:r>
          </w:p>
        </w:tc>
        <w:tc>
          <w:tcPr>
            <w:tcW w:w="0" w:type="auto"/>
            <w:tcBorders>
              <w:top w:val="single" w:sz="8" w:space="0" w:color="FFFFFF"/>
              <w:left w:val="single" w:sz="8" w:space="0" w:color="FFFFFF"/>
              <w:bottom w:val="single" w:sz="8" w:space="0" w:color="FFFFFF"/>
              <w:right w:val="single" w:sz="8" w:space="0" w:color="FFFFFF"/>
            </w:tcBorders>
          </w:tcPr>
          <w:p w14:paraId="7D1DD716" w14:textId="74FC5FC0"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104.18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57B170" w14:textId="687D757C" w:rsidR="00042487" w:rsidRPr="00193E77" w:rsidRDefault="00193E77" w:rsidP="00F62718">
            <w:pP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Down</w:t>
            </w:r>
            <w:r w:rsidR="00042487" w:rsidRPr="00193E7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2.18</w:t>
            </w:r>
            <w:r w:rsidR="00042487" w:rsidRPr="00193E77">
              <w:rPr>
                <w:rFonts w:ascii="Times New Roman" w:eastAsia="Times New Roman" w:hAnsi="Times New Roman" w:cs="Times New Roman"/>
                <w:color w:val="FF0000"/>
                <w:sz w:val="24"/>
                <w:szCs w:val="24"/>
              </w:rPr>
              <w:t>%</w:t>
            </w:r>
          </w:p>
        </w:tc>
      </w:tr>
      <w:tr w:rsidR="00042487" w:rsidRPr="00CB1778" w14:paraId="1B202A11" w14:textId="77777777" w:rsidTr="005005D2">
        <w:trPr>
          <w:trHeight w:val="88"/>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1944767" w14:textId="5DA9B2FF"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XLF</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0840C77" w14:textId="26C8D59D" w:rsidR="00042487" w:rsidRPr="00056062" w:rsidRDefault="00C54784" w:rsidP="00F62718">
            <w:pPr>
              <w:spacing w:after="0" w:line="240" w:lineRule="auto"/>
              <w:jc w:val="center"/>
              <w:rPr>
                <w:rFonts w:ascii="Times New Roman" w:eastAsia="Times New Roman" w:hAnsi="Times New Roman" w:cs="Times New Roman"/>
                <w:color w:val="000000"/>
                <w:sz w:val="24"/>
                <w:szCs w:val="24"/>
                <w:highlight w:val="yellow"/>
                <w:shd w:val="clear" w:color="auto" w:fill="FFFFFF"/>
              </w:rPr>
            </w:pPr>
            <w:r w:rsidRPr="00C54784">
              <w:rPr>
                <w:rFonts w:ascii="Times New Roman" w:eastAsia="Times New Roman" w:hAnsi="Times New Roman" w:cs="Times New Roman"/>
                <w:color w:val="000000"/>
                <w:sz w:val="24"/>
                <w:szCs w:val="24"/>
                <w:shd w:val="clear" w:color="auto" w:fill="FFFFFF"/>
              </w:rPr>
              <w:t>37.50</w:t>
            </w:r>
          </w:p>
        </w:tc>
        <w:tc>
          <w:tcPr>
            <w:tcW w:w="0" w:type="auto"/>
            <w:tcBorders>
              <w:top w:val="single" w:sz="8" w:space="0" w:color="FFFFFF"/>
              <w:left w:val="single" w:sz="8" w:space="0" w:color="FFFFFF"/>
              <w:bottom w:val="single" w:sz="8" w:space="0" w:color="FFFFFF"/>
              <w:right w:val="single" w:sz="8" w:space="0" w:color="FFFFFF"/>
            </w:tcBorders>
          </w:tcPr>
          <w:p w14:paraId="05ECD7E2" w14:textId="266F1D09"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37.84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DF071A" w14:textId="6E2907EB" w:rsidR="00042487" w:rsidRPr="00193E77" w:rsidRDefault="00193E77" w:rsidP="00F62718">
            <w:pP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Down</w:t>
            </w:r>
            <w:r w:rsidR="00042487" w:rsidRPr="00193E7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0.90</w:t>
            </w:r>
            <w:r w:rsidR="00042487" w:rsidRPr="00193E77">
              <w:rPr>
                <w:rFonts w:ascii="Times New Roman" w:eastAsia="Times New Roman" w:hAnsi="Times New Roman" w:cs="Times New Roman"/>
                <w:color w:val="FF0000"/>
                <w:sz w:val="24"/>
                <w:szCs w:val="24"/>
              </w:rPr>
              <w:t>%</w:t>
            </w:r>
          </w:p>
        </w:tc>
      </w:tr>
    </w:tbl>
    <w:p w14:paraId="1CE55F37" w14:textId="303E74C5" w:rsidR="00774A48" w:rsidRPr="00CB1778" w:rsidRDefault="00774A48" w:rsidP="00CB1778">
      <w:pPr>
        <w:pBdr>
          <w:bottom w:val="single" w:sz="4" w:space="1" w:color="auto"/>
        </w:pBdr>
        <w:spacing w:line="240" w:lineRule="auto"/>
        <w:rPr>
          <w:rFonts w:ascii="Times New Roman" w:hAnsi="Times New Roman" w:cs="Times New Roman"/>
          <w:sz w:val="2"/>
          <w:szCs w:val="2"/>
          <w:shd w:val="clear" w:color="auto" w:fill="FFFFFF"/>
        </w:rPr>
      </w:pPr>
    </w:p>
    <w:p w14:paraId="59A61E8B" w14:textId="0460163F" w:rsidR="005005D2" w:rsidRPr="00CB1778" w:rsidRDefault="005005D2" w:rsidP="005005D2">
      <w:pPr>
        <w:pStyle w:val="NormalWeb"/>
        <w:spacing w:before="0" w:beforeAutospacing="0" w:after="160" w:afterAutospacing="0"/>
        <w:jc w:val="both"/>
        <w:rPr>
          <w:b/>
          <w:bCs/>
          <w:i/>
          <w:iCs/>
          <w:color w:val="000000"/>
          <w:sz w:val="2"/>
          <w:szCs w:val="2"/>
        </w:rPr>
      </w:pPr>
    </w:p>
    <w:p w14:paraId="4D154861" w14:textId="587B11A0" w:rsidR="00FB2773" w:rsidRPr="00056062" w:rsidRDefault="00FB2773" w:rsidP="005005D2">
      <w:pPr>
        <w:pStyle w:val="NormalWeb"/>
        <w:spacing w:before="0" w:beforeAutospacing="0" w:after="160" w:afterAutospacing="0"/>
        <w:jc w:val="both"/>
      </w:pPr>
      <w:r w:rsidRPr="00056062">
        <w:rPr>
          <w:b/>
          <w:bCs/>
          <w:i/>
          <w:iCs/>
          <w:color w:val="000000"/>
        </w:rPr>
        <w:t>INDIVIDUAL HOLDINGS:</w:t>
      </w:r>
    </w:p>
    <w:p w14:paraId="00749A4F" w14:textId="29C6BB62" w:rsidR="005005D2" w:rsidRPr="005005D2" w:rsidRDefault="00932B70" w:rsidP="005005D2">
      <w:pPr>
        <w:spacing w:line="240" w:lineRule="auto"/>
        <w:jc w:val="both"/>
        <w:rPr>
          <w:rFonts w:ascii="Times New Roman" w:hAnsi="Times New Roman" w:cs="Times New Roman"/>
          <w:sz w:val="24"/>
          <w:szCs w:val="24"/>
        </w:rPr>
      </w:pPr>
      <w:r w:rsidRPr="00166346">
        <w:rPr>
          <w:rFonts w:ascii="Times New Roman" w:hAnsi="Times New Roman" w:cs="Times New Roman"/>
          <w:b/>
          <w:bCs/>
          <w:sz w:val="24"/>
          <w:szCs w:val="24"/>
        </w:rPr>
        <w:t>MA:</w:t>
      </w:r>
      <w:r w:rsidRPr="00166346">
        <w:rPr>
          <w:rFonts w:ascii="Times New Roman" w:hAnsi="Times New Roman" w:cs="Times New Roman"/>
          <w:sz w:val="24"/>
          <w:szCs w:val="24"/>
        </w:rPr>
        <w:t xml:space="preserve"> </w:t>
      </w:r>
      <w:r w:rsidR="00F93E30" w:rsidRPr="00166346">
        <w:rPr>
          <w:rFonts w:ascii="Times New Roman" w:hAnsi="Times New Roman" w:cs="Times New Roman"/>
          <w:sz w:val="24"/>
          <w:szCs w:val="24"/>
        </w:rPr>
        <w:t xml:space="preserve">Mastercard </w:t>
      </w:r>
      <w:r w:rsidR="00FE5DCB" w:rsidRPr="00166346">
        <w:rPr>
          <w:rFonts w:ascii="Times New Roman" w:hAnsi="Times New Roman" w:cs="Times New Roman"/>
          <w:sz w:val="24"/>
          <w:szCs w:val="24"/>
        </w:rPr>
        <w:t xml:space="preserve">announced </w:t>
      </w:r>
      <w:r w:rsidR="00B21C71" w:rsidRPr="00166346">
        <w:rPr>
          <w:rFonts w:ascii="Times New Roman" w:hAnsi="Times New Roman" w:cs="Times New Roman"/>
          <w:sz w:val="24"/>
          <w:szCs w:val="24"/>
        </w:rPr>
        <w:t>the</w:t>
      </w:r>
      <w:r w:rsidR="00FE5DCB" w:rsidRPr="00166346">
        <w:rPr>
          <w:rFonts w:ascii="Times New Roman" w:hAnsi="Times New Roman" w:cs="Times New Roman"/>
          <w:sz w:val="24"/>
          <w:szCs w:val="24"/>
        </w:rPr>
        <w:t xml:space="preserve"> acquisition </w:t>
      </w:r>
      <w:r w:rsidR="00B21C71" w:rsidRPr="00166346">
        <w:rPr>
          <w:rFonts w:ascii="Times New Roman" w:hAnsi="Times New Roman" w:cs="Times New Roman"/>
          <w:sz w:val="24"/>
          <w:szCs w:val="24"/>
        </w:rPr>
        <w:t>of leading cryptocurrency intelligence company CipherTrace on Thursday. With this acquisition</w:t>
      </w:r>
      <w:r w:rsidR="003D05F1" w:rsidRPr="00166346">
        <w:rPr>
          <w:rFonts w:ascii="Times New Roman" w:hAnsi="Times New Roman" w:cs="Times New Roman"/>
          <w:sz w:val="24"/>
          <w:szCs w:val="24"/>
        </w:rPr>
        <w:t xml:space="preserve">, </w:t>
      </w:r>
      <w:r w:rsidR="00B21C71" w:rsidRPr="00166346">
        <w:rPr>
          <w:rFonts w:ascii="Times New Roman" w:hAnsi="Times New Roman" w:cs="Times New Roman"/>
          <w:sz w:val="24"/>
          <w:szCs w:val="24"/>
        </w:rPr>
        <w:t xml:space="preserve">MC </w:t>
      </w:r>
      <w:r w:rsidR="00083C5F" w:rsidRPr="00166346">
        <w:rPr>
          <w:rFonts w:ascii="Times New Roman" w:hAnsi="Times New Roman" w:cs="Times New Roman"/>
          <w:sz w:val="24"/>
          <w:szCs w:val="24"/>
        </w:rPr>
        <w:t>greatly</w:t>
      </w:r>
      <w:r w:rsidR="00B21C71" w:rsidRPr="00166346">
        <w:rPr>
          <w:rFonts w:ascii="Times New Roman" w:hAnsi="Times New Roman" w:cs="Times New Roman"/>
          <w:sz w:val="24"/>
          <w:szCs w:val="24"/>
        </w:rPr>
        <w:t xml:space="preserve"> enhance</w:t>
      </w:r>
      <w:r w:rsidR="002644A1">
        <w:rPr>
          <w:rFonts w:ascii="Times New Roman" w:hAnsi="Times New Roman" w:cs="Times New Roman"/>
          <w:sz w:val="24"/>
          <w:szCs w:val="24"/>
        </w:rPr>
        <w:t>d</w:t>
      </w:r>
      <w:r w:rsidR="00B21C71" w:rsidRPr="00166346">
        <w:rPr>
          <w:rFonts w:ascii="Times New Roman" w:hAnsi="Times New Roman" w:cs="Times New Roman"/>
          <w:sz w:val="24"/>
          <w:szCs w:val="24"/>
        </w:rPr>
        <w:t xml:space="preserve"> its crypto</w:t>
      </w:r>
      <w:r w:rsidR="00083C5F" w:rsidRPr="00166346">
        <w:rPr>
          <w:rFonts w:ascii="Times New Roman" w:hAnsi="Times New Roman" w:cs="Times New Roman"/>
          <w:sz w:val="24"/>
          <w:szCs w:val="24"/>
        </w:rPr>
        <w:t>-related</w:t>
      </w:r>
      <w:r w:rsidR="00B21C71" w:rsidRPr="00166346">
        <w:rPr>
          <w:rFonts w:ascii="Times New Roman" w:hAnsi="Times New Roman" w:cs="Times New Roman"/>
          <w:sz w:val="24"/>
          <w:szCs w:val="24"/>
        </w:rPr>
        <w:t xml:space="preserve"> </w:t>
      </w:r>
      <w:r w:rsidR="00083C5F" w:rsidRPr="00166346">
        <w:rPr>
          <w:rFonts w:ascii="Times New Roman" w:hAnsi="Times New Roman" w:cs="Times New Roman"/>
          <w:sz w:val="24"/>
          <w:szCs w:val="24"/>
        </w:rPr>
        <w:t>capabilities</w:t>
      </w:r>
      <w:r w:rsidR="00B21C71" w:rsidRPr="00166346">
        <w:rPr>
          <w:rFonts w:ascii="Times New Roman" w:hAnsi="Times New Roman" w:cs="Times New Roman"/>
          <w:sz w:val="24"/>
          <w:szCs w:val="24"/>
        </w:rPr>
        <w:t xml:space="preserve"> </w:t>
      </w:r>
      <w:r w:rsidR="00083C5F" w:rsidRPr="00166346">
        <w:rPr>
          <w:rFonts w:ascii="Times New Roman" w:hAnsi="Times New Roman" w:cs="Times New Roman"/>
          <w:sz w:val="24"/>
          <w:szCs w:val="24"/>
        </w:rPr>
        <w:t>by leveraging</w:t>
      </w:r>
      <w:r w:rsidR="00B21C71" w:rsidRPr="00166346">
        <w:rPr>
          <w:rFonts w:ascii="Times New Roman" w:hAnsi="Times New Roman" w:cs="Times New Roman"/>
          <w:sz w:val="24"/>
          <w:szCs w:val="24"/>
        </w:rPr>
        <w:t xml:space="preserve"> CipherTrace</w:t>
      </w:r>
      <w:r w:rsidR="003D05F1" w:rsidRPr="00166346">
        <w:rPr>
          <w:rFonts w:ascii="Times New Roman" w:hAnsi="Times New Roman" w:cs="Times New Roman"/>
          <w:sz w:val="24"/>
          <w:szCs w:val="24"/>
        </w:rPr>
        <w:t>’s</w:t>
      </w:r>
      <w:r w:rsidR="00B21C71" w:rsidRPr="00166346">
        <w:rPr>
          <w:rFonts w:ascii="Times New Roman" w:hAnsi="Times New Roman" w:cs="Times New Roman"/>
          <w:sz w:val="24"/>
          <w:szCs w:val="24"/>
        </w:rPr>
        <w:t xml:space="preserve"> </w:t>
      </w:r>
      <w:r w:rsidR="00083C5F" w:rsidRPr="00166346">
        <w:rPr>
          <w:rFonts w:ascii="Times New Roman" w:hAnsi="Times New Roman" w:cs="Times New Roman"/>
          <w:sz w:val="24"/>
          <w:szCs w:val="24"/>
        </w:rPr>
        <w:t xml:space="preserve">platform which offers </w:t>
      </w:r>
      <w:r w:rsidR="003D05F1" w:rsidRPr="00166346">
        <w:rPr>
          <w:rFonts w:ascii="Times New Roman" w:hAnsi="Times New Roman" w:cs="Times New Roman"/>
          <w:sz w:val="24"/>
          <w:szCs w:val="24"/>
        </w:rPr>
        <w:t xml:space="preserve">banks and other financial institutions </w:t>
      </w:r>
      <w:r w:rsidR="00083C5F" w:rsidRPr="00166346">
        <w:rPr>
          <w:rFonts w:ascii="Times New Roman" w:hAnsi="Times New Roman" w:cs="Times New Roman"/>
          <w:sz w:val="24"/>
          <w:szCs w:val="24"/>
        </w:rPr>
        <w:t xml:space="preserve">fraud </w:t>
      </w:r>
      <w:r w:rsidR="003D05F1" w:rsidRPr="00166346">
        <w:rPr>
          <w:rFonts w:ascii="Times New Roman" w:hAnsi="Times New Roman" w:cs="Times New Roman"/>
          <w:sz w:val="24"/>
          <w:szCs w:val="24"/>
        </w:rPr>
        <w:t>monitoring and increased transparency</w:t>
      </w:r>
      <w:r w:rsidR="00083C5F" w:rsidRPr="00166346">
        <w:rPr>
          <w:rFonts w:ascii="Times New Roman" w:hAnsi="Times New Roman" w:cs="Times New Roman"/>
          <w:sz w:val="24"/>
          <w:szCs w:val="24"/>
        </w:rPr>
        <w:t xml:space="preserve">. </w:t>
      </w:r>
      <w:r w:rsidR="00C1730E" w:rsidRPr="00166346">
        <w:rPr>
          <w:rFonts w:ascii="Times New Roman" w:hAnsi="Times New Roman" w:cs="Times New Roman"/>
          <w:sz w:val="24"/>
          <w:szCs w:val="24"/>
        </w:rPr>
        <w:t xml:space="preserve">This acquisition is significant as cryptocurrencies and nonfungible tokens have increasingly grown in popularity as </w:t>
      </w:r>
      <w:r w:rsidR="003D05F1" w:rsidRPr="00166346">
        <w:rPr>
          <w:rFonts w:ascii="Times New Roman" w:hAnsi="Times New Roman" w:cs="Times New Roman"/>
          <w:sz w:val="24"/>
          <w:szCs w:val="24"/>
        </w:rPr>
        <w:t xml:space="preserve">investments and </w:t>
      </w:r>
      <w:r w:rsidR="00C1730E" w:rsidRPr="00166346">
        <w:rPr>
          <w:rFonts w:ascii="Times New Roman" w:hAnsi="Times New Roman" w:cs="Times New Roman"/>
          <w:sz w:val="24"/>
          <w:szCs w:val="24"/>
        </w:rPr>
        <w:t>payment methods, limited</w:t>
      </w:r>
      <w:r w:rsidR="00AD5756" w:rsidRPr="00166346">
        <w:rPr>
          <w:rFonts w:ascii="Times New Roman" w:hAnsi="Times New Roman" w:cs="Times New Roman"/>
          <w:sz w:val="24"/>
          <w:szCs w:val="24"/>
        </w:rPr>
        <w:t xml:space="preserve"> only</w:t>
      </w:r>
      <w:r w:rsidR="00C1730E" w:rsidRPr="00166346">
        <w:rPr>
          <w:rFonts w:ascii="Times New Roman" w:hAnsi="Times New Roman" w:cs="Times New Roman"/>
          <w:sz w:val="24"/>
          <w:szCs w:val="24"/>
        </w:rPr>
        <w:t xml:space="preserve"> by security</w:t>
      </w:r>
      <w:r w:rsidR="00AD5756" w:rsidRPr="00166346">
        <w:rPr>
          <w:rFonts w:ascii="Times New Roman" w:hAnsi="Times New Roman" w:cs="Times New Roman"/>
          <w:sz w:val="24"/>
          <w:szCs w:val="24"/>
        </w:rPr>
        <w:t xml:space="preserve"> and transparency </w:t>
      </w:r>
      <w:r w:rsidR="004C01E3" w:rsidRPr="00166346">
        <w:rPr>
          <w:rFonts w:ascii="Times New Roman" w:hAnsi="Times New Roman" w:cs="Times New Roman"/>
          <w:sz w:val="24"/>
          <w:szCs w:val="24"/>
        </w:rPr>
        <w:t xml:space="preserve">issues </w:t>
      </w:r>
      <w:r w:rsidR="00C1730E" w:rsidRPr="00166346">
        <w:rPr>
          <w:rFonts w:ascii="Times New Roman" w:hAnsi="Times New Roman" w:cs="Times New Roman"/>
          <w:sz w:val="24"/>
          <w:szCs w:val="24"/>
        </w:rPr>
        <w:t xml:space="preserve">that </w:t>
      </w:r>
      <w:r w:rsidR="003D05F1" w:rsidRPr="00166346">
        <w:rPr>
          <w:rFonts w:ascii="Times New Roman" w:hAnsi="Times New Roman" w:cs="Times New Roman"/>
          <w:sz w:val="24"/>
          <w:szCs w:val="24"/>
        </w:rPr>
        <w:t>companies like CipherTrace are working to eliminate.</w:t>
      </w:r>
      <w:r w:rsidR="00193E77" w:rsidRPr="00193E77">
        <w:t xml:space="preserve"> </w:t>
      </w:r>
      <w:r w:rsidR="00193E77" w:rsidRPr="00193E77">
        <w:rPr>
          <w:rFonts w:ascii="Times New Roman" w:hAnsi="Times New Roman" w:cs="Times New Roman"/>
          <w:sz w:val="24"/>
          <w:szCs w:val="24"/>
        </w:rPr>
        <w:t>This positive news contributed to MA’s slight growth this week.</w:t>
      </w:r>
      <w:r w:rsidR="00AD5756" w:rsidRPr="00166346">
        <w:rPr>
          <w:rFonts w:ascii="Times New Roman" w:hAnsi="Times New Roman" w:cs="Times New Roman"/>
          <w:sz w:val="24"/>
          <w:szCs w:val="24"/>
        </w:rPr>
        <w:t xml:space="preserve"> </w:t>
      </w:r>
      <w:hyperlink r:id="rId6" w:history="1">
        <w:r w:rsidR="005005D2">
          <w:rPr>
            <w:rStyle w:val="Hyperlink"/>
            <w:rFonts w:ascii="Times New Roman" w:hAnsi="Times New Roman" w:cs="Times New Roman"/>
            <w:sz w:val="24"/>
            <w:szCs w:val="24"/>
          </w:rPr>
          <w:t>Source</w:t>
        </w:r>
      </w:hyperlink>
    </w:p>
    <w:p w14:paraId="21B2F022" w14:textId="77777777" w:rsidR="005005D2" w:rsidRPr="005005D2" w:rsidRDefault="005005D2" w:rsidP="005005D2">
      <w:pPr>
        <w:spacing w:line="240" w:lineRule="auto"/>
        <w:jc w:val="both"/>
        <w:rPr>
          <w:rFonts w:ascii="Times New Roman" w:hAnsi="Times New Roman" w:cs="Times New Roman"/>
          <w:sz w:val="2"/>
          <w:szCs w:val="2"/>
        </w:rPr>
      </w:pPr>
    </w:p>
    <w:p w14:paraId="3929A6C0" w14:textId="16142014" w:rsidR="007C33B2" w:rsidRPr="00166346" w:rsidRDefault="00932B70" w:rsidP="005005D2">
      <w:pPr>
        <w:spacing w:line="240" w:lineRule="auto"/>
        <w:jc w:val="both"/>
        <w:rPr>
          <w:rFonts w:ascii="Times New Roman" w:hAnsi="Times New Roman" w:cs="Times New Roman"/>
          <w:color w:val="0563C1" w:themeColor="hyperlink"/>
          <w:sz w:val="24"/>
          <w:szCs w:val="24"/>
          <w:u w:val="single"/>
        </w:rPr>
      </w:pPr>
      <w:r w:rsidRPr="00166346">
        <w:rPr>
          <w:rFonts w:ascii="Times New Roman" w:hAnsi="Times New Roman" w:cs="Times New Roman"/>
          <w:b/>
          <w:bCs/>
          <w:sz w:val="24"/>
          <w:szCs w:val="24"/>
        </w:rPr>
        <w:t>VIRT:</w:t>
      </w:r>
      <w:r w:rsidR="00A10E3D" w:rsidRPr="00166346">
        <w:rPr>
          <w:rFonts w:ascii="Times New Roman" w:hAnsi="Times New Roman" w:cs="Times New Roman"/>
          <w:sz w:val="24"/>
          <w:szCs w:val="24"/>
        </w:rPr>
        <w:t xml:space="preserve"> Virtu Financial stayed mostly out of the limelight </w:t>
      </w:r>
      <w:r w:rsidR="00E21AD1">
        <w:rPr>
          <w:rFonts w:ascii="Times New Roman" w:hAnsi="Times New Roman" w:cs="Times New Roman"/>
          <w:sz w:val="24"/>
          <w:szCs w:val="24"/>
        </w:rPr>
        <w:t>last</w:t>
      </w:r>
      <w:r w:rsidR="00A10E3D" w:rsidRPr="00166346">
        <w:rPr>
          <w:rFonts w:ascii="Times New Roman" w:hAnsi="Times New Roman" w:cs="Times New Roman"/>
          <w:sz w:val="24"/>
          <w:szCs w:val="24"/>
        </w:rPr>
        <w:t xml:space="preserve"> week, although VIRT </w:t>
      </w:r>
      <w:r w:rsidR="00F25EA3" w:rsidRPr="00166346">
        <w:rPr>
          <w:rFonts w:ascii="Times New Roman" w:hAnsi="Times New Roman" w:cs="Times New Roman"/>
          <w:sz w:val="24"/>
          <w:szCs w:val="24"/>
        </w:rPr>
        <w:t>trended up</w:t>
      </w:r>
      <w:r w:rsidR="00BB7FE8" w:rsidRPr="00166346">
        <w:rPr>
          <w:rFonts w:ascii="Times New Roman" w:hAnsi="Times New Roman" w:cs="Times New Roman"/>
          <w:sz w:val="24"/>
          <w:szCs w:val="24"/>
        </w:rPr>
        <w:t xml:space="preserve">wards </w:t>
      </w:r>
      <w:r w:rsidR="007C33B2" w:rsidRPr="00166346">
        <w:rPr>
          <w:rFonts w:ascii="Times New Roman" w:hAnsi="Times New Roman" w:cs="Times New Roman"/>
          <w:sz w:val="24"/>
          <w:szCs w:val="24"/>
        </w:rPr>
        <w:t>intraweek</w:t>
      </w:r>
      <w:r w:rsidR="00BB7FE8" w:rsidRPr="00166346">
        <w:rPr>
          <w:rFonts w:ascii="Times New Roman" w:hAnsi="Times New Roman" w:cs="Times New Roman"/>
          <w:sz w:val="24"/>
          <w:szCs w:val="24"/>
        </w:rPr>
        <w:t xml:space="preserve"> as </w:t>
      </w:r>
      <w:r w:rsidR="00F25EA3" w:rsidRPr="00166346">
        <w:rPr>
          <w:rFonts w:ascii="Times New Roman" w:hAnsi="Times New Roman" w:cs="Times New Roman"/>
          <w:sz w:val="24"/>
          <w:szCs w:val="24"/>
        </w:rPr>
        <w:t>SEC Chair Gary Gensler</w:t>
      </w:r>
      <w:r w:rsidR="00BB7FE8" w:rsidRPr="00166346">
        <w:rPr>
          <w:rFonts w:ascii="Times New Roman" w:hAnsi="Times New Roman" w:cs="Times New Roman"/>
          <w:sz w:val="24"/>
          <w:szCs w:val="24"/>
        </w:rPr>
        <w:t xml:space="preserve"> made no mention</w:t>
      </w:r>
      <w:r w:rsidR="007C33B2" w:rsidRPr="00166346">
        <w:rPr>
          <w:rFonts w:ascii="Times New Roman" w:hAnsi="Times New Roman" w:cs="Times New Roman"/>
          <w:sz w:val="24"/>
          <w:szCs w:val="24"/>
        </w:rPr>
        <w:t xml:space="preserve"> of a possible ban on payments for order flow</w:t>
      </w:r>
      <w:r w:rsidR="00BB7FE8" w:rsidRPr="00166346">
        <w:rPr>
          <w:rFonts w:ascii="Times New Roman" w:hAnsi="Times New Roman" w:cs="Times New Roman"/>
          <w:sz w:val="24"/>
          <w:szCs w:val="24"/>
        </w:rPr>
        <w:t xml:space="preserve"> </w:t>
      </w:r>
      <w:r w:rsidR="007C33B2" w:rsidRPr="00166346">
        <w:rPr>
          <w:rFonts w:ascii="Times New Roman" w:hAnsi="Times New Roman" w:cs="Times New Roman"/>
          <w:sz w:val="24"/>
          <w:szCs w:val="24"/>
        </w:rPr>
        <w:t xml:space="preserve">at the Investor Advisory Committee held on Thursday. As regulations on payments for order flow would disrupt VIRT’s business model and potential profitability, Gensler’s omission </w:t>
      </w:r>
      <w:r w:rsidR="005B1516" w:rsidRPr="00166346">
        <w:rPr>
          <w:rFonts w:ascii="Times New Roman" w:hAnsi="Times New Roman" w:cs="Times New Roman"/>
          <w:sz w:val="24"/>
          <w:szCs w:val="24"/>
        </w:rPr>
        <w:t>of negative order flow remarks is very promising</w:t>
      </w:r>
      <w:r w:rsidR="00DB2389">
        <w:rPr>
          <w:rFonts w:ascii="Times New Roman" w:hAnsi="Times New Roman" w:cs="Times New Roman"/>
          <w:sz w:val="24"/>
          <w:szCs w:val="24"/>
        </w:rPr>
        <w:t xml:space="preserve">. </w:t>
      </w:r>
      <w:r w:rsidR="00DB2389" w:rsidRPr="00193E77">
        <w:rPr>
          <w:rFonts w:ascii="Times New Roman" w:hAnsi="Times New Roman" w:cs="Times New Roman"/>
          <w:sz w:val="24"/>
          <w:szCs w:val="24"/>
        </w:rPr>
        <w:t>This positive</w:t>
      </w:r>
      <w:r w:rsidR="00DB2389">
        <w:rPr>
          <w:rFonts w:ascii="Times New Roman" w:hAnsi="Times New Roman" w:cs="Times New Roman"/>
          <w:sz w:val="24"/>
          <w:szCs w:val="24"/>
        </w:rPr>
        <w:t xml:space="preserve"> news</w:t>
      </w:r>
      <w:r w:rsidR="00DB2389" w:rsidRPr="00193E77">
        <w:rPr>
          <w:rFonts w:ascii="Times New Roman" w:hAnsi="Times New Roman" w:cs="Times New Roman"/>
          <w:sz w:val="24"/>
          <w:szCs w:val="24"/>
        </w:rPr>
        <w:t xml:space="preserve"> </w:t>
      </w:r>
      <w:r w:rsidR="00DB2389">
        <w:rPr>
          <w:rFonts w:ascii="Times New Roman" w:hAnsi="Times New Roman" w:cs="Times New Roman"/>
          <w:sz w:val="24"/>
          <w:szCs w:val="24"/>
        </w:rPr>
        <w:t>helped</w:t>
      </w:r>
      <w:r w:rsidR="00DB2389" w:rsidRPr="00193E77">
        <w:rPr>
          <w:rFonts w:ascii="Times New Roman" w:hAnsi="Times New Roman" w:cs="Times New Roman"/>
          <w:sz w:val="24"/>
          <w:szCs w:val="24"/>
        </w:rPr>
        <w:t xml:space="preserve"> </w:t>
      </w:r>
      <w:r w:rsidR="00DB2389">
        <w:rPr>
          <w:rFonts w:ascii="Times New Roman" w:hAnsi="Times New Roman" w:cs="Times New Roman"/>
          <w:sz w:val="24"/>
          <w:szCs w:val="24"/>
        </w:rPr>
        <w:t>VIRT</w:t>
      </w:r>
      <w:r w:rsidR="00DB2389" w:rsidRPr="00193E77">
        <w:rPr>
          <w:rFonts w:ascii="Times New Roman" w:hAnsi="Times New Roman" w:cs="Times New Roman"/>
          <w:sz w:val="24"/>
          <w:szCs w:val="24"/>
        </w:rPr>
        <w:t xml:space="preserve"> </w:t>
      </w:r>
      <w:r w:rsidR="00DB2389">
        <w:rPr>
          <w:rFonts w:ascii="Times New Roman" w:hAnsi="Times New Roman" w:cs="Times New Roman"/>
          <w:sz w:val="24"/>
          <w:szCs w:val="24"/>
        </w:rPr>
        <w:t>trade up</w:t>
      </w:r>
      <w:r w:rsidR="00DB2389" w:rsidRPr="00193E77">
        <w:rPr>
          <w:rFonts w:ascii="Times New Roman" w:hAnsi="Times New Roman" w:cs="Times New Roman"/>
          <w:sz w:val="24"/>
          <w:szCs w:val="24"/>
        </w:rPr>
        <w:t xml:space="preserve"> this week.</w:t>
      </w:r>
      <w:r w:rsidR="00DB2389" w:rsidRPr="00166346">
        <w:rPr>
          <w:rFonts w:ascii="Times New Roman" w:hAnsi="Times New Roman" w:cs="Times New Roman"/>
          <w:sz w:val="24"/>
          <w:szCs w:val="24"/>
        </w:rPr>
        <w:t xml:space="preserve"> </w:t>
      </w:r>
      <w:hyperlink r:id="rId7" w:history="1">
        <w:r w:rsidR="006274D6" w:rsidRPr="00166346">
          <w:rPr>
            <w:rStyle w:val="Hyperlink"/>
            <w:rFonts w:ascii="Times New Roman" w:hAnsi="Times New Roman" w:cs="Times New Roman"/>
            <w:sz w:val="24"/>
            <w:szCs w:val="24"/>
          </w:rPr>
          <w:t>Source</w:t>
        </w:r>
      </w:hyperlink>
    </w:p>
    <w:p w14:paraId="3AB0925F" w14:textId="77777777" w:rsidR="00F25EA3" w:rsidRPr="005005D2" w:rsidRDefault="00F25EA3" w:rsidP="005005D2">
      <w:pPr>
        <w:pStyle w:val="ListParagraph"/>
        <w:spacing w:line="240" w:lineRule="auto"/>
        <w:jc w:val="both"/>
        <w:rPr>
          <w:rFonts w:ascii="Times New Roman" w:hAnsi="Times New Roman" w:cs="Times New Roman"/>
          <w:sz w:val="2"/>
          <w:szCs w:val="2"/>
        </w:rPr>
      </w:pPr>
    </w:p>
    <w:p w14:paraId="6B5471BB" w14:textId="7C4ED7A9" w:rsidR="00CB1778" w:rsidRDefault="00DD2E86" w:rsidP="005005D2">
      <w:pPr>
        <w:spacing w:line="240" w:lineRule="auto"/>
        <w:jc w:val="both"/>
        <w:rPr>
          <w:rFonts w:ascii="Times New Roman" w:hAnsi="Times New Roman" w:cs="Times New Roman"/>
          <w:color w:val="0563C1" w:themeColor="hyperlink"/>
          <w:sz w:val="24"/>
          <w:szCs w:val="24"/>
          <w:u w:val="single"/>
        </w:rPr>
      </w:pPr>
      <w:r w:rsidRPr="00166346">
        <w:rPr>
          <w:rFonts w:ascii="Times New Roman" w:hAnsi="Times New Roman" w:cs="Times New Roman"/>
          <w:b/>
          <w:bCs/>
          <w:sz w:val="24"/>
          <w:szCs w:val="24"/>
        </w:rPr>
        <w:t xml:space="preserve">C: </w:t>
      </w:r>
      <w:r w:rsidR="007406BF" w:rsidRPr="00166346">
        <w:rPr>
          <w:rFonts w:ascii="Times New Roman" w:hAnsi="Times New Roman" w:cs="Times New Roman"/>
          <w:sz w:val="24"/>
          <w:szCs w:val="24"/>
        </w:rPr>
        <w:t>L</w:t>
      </w:r>
      <w:r w:rsidR="00A10E3D" w:rsidRPr="00166346">
        <w:rPr>
          <w:rFonts w:ascii="Times New Roman" w:hAnsi="Times New Roman" w:cs="Times New Roman"/>
          <w:sz w:val="24"/>
          <w:szCs w:val="24"/>
        </w:rPr>
        <w:t>ast week</w:t>
      </w:r>
      <w:r w:rsidR="00A5470E" w:rsidRPr="00166346">
        <w:rPr>
          <w:rFonts w:ascii="Times New Roman" w:hAnsi="Times New Roman" w:cs="Times New Roman"/>
          <w:sz w:val="24"/>
          <w:szCs w:val="24"/>
        </w:rPr>
        <w:t xml:space="preserve"> </w:t>
      </w:r>
      <w:r w:rsidR="00A10E3D" w:rsidRPr="00166346">
        <w:rPr>
          <w:rFonts w:ascii="Times New Roman" w:hAnsi="Times New Roman" w:cs="Times New Roman"/>
          <w:sz w:val="24"/>
          <w:szCs w:val="24"/>
        </w:rPr>
        <w:t>C</w:t>
      </w:r>
      <w:r w:rsidR="00845687" w:rsidRPr="00166346">
        <w:rPr>
          <w:rFonts w:ascii="Times New Roman" w:hAnsi="Times New Roman" w:cs="Times New Roman"/>
          <w:sz w:val="24"/>
          <w:szCs w:val="24"/>
        </w:rPr>
        <w:t>itigroup</w:t>
      </w:r>
      <w:r w:rsidR="007406BF" w:rsidRPr="00166346">
        <w:rPr>
          <w:rFonts w:ascii="Times New Roman" w:hAnsi="Times New Roman" w:cs="Times New Roman"/>
          <w:sz w:val="24"/>
          <w:szCs w:val="24"/>
        </w:rPr>
        <w:t xml:space="preserve"> greatly</w:t>
      </w:r>
      <w:r w:rsidR="00845687" w:rsidRPr="00166346">
        <w:rPr>
          <w:rFonts w:ascii="Times New Roman" w:hAnsi="Times New Roman" w:cs="Times New Roman"/>
          <w:sz w:val="24"/>
          <w:szCs w:val="24"/>
        </w:rPr>
        <w:t xml:space="preserve"> </w:t>
      </w:r>
      <w:r w:rsidR="00A10E3D" w:rsidRPr="00166346">
        <w:rPr>
          <w:rFonts w:ascii="Times New Roman" w:hAnsi="Times New Roman" w:cs="Times New Roman"/>
          <w:sz w:val="24"/>
          <w:szCs w:val="24"/>
        </w:rPr>
        <w:t xml:space="preserve">expanded its human capital </w:t>
      </w:r>
      <w:r w:rsidR="007406BF" w:rsidRPr="00166346">
        <w:rPr>
          <w:rFonts w:ascii="Times New Roman" w:hAnsi="Times New Roman" w:cs="Times New Roman"/>
          <w:sz w:val="24"/>
          <w:szCs w:val="24"/>
        </w:rPr>
        <w:t xml:space="preserve">through hiring a </w:t>
      </w:r>
      <w:r w:rsidR="00A5470E" w:rsidRPr="00166346">
        <w:rPr>
          <w:rFonts w:ascii="Times New Roman" w:hAnsi="Times New Roman" w:cs="Times New Roman"/>
          <w:sz w:val="24"/>
          <w:szCs w:val="24"/>
        </w:rPr>
        <w:t xml:space="preserve">prominent leader from </w:t>
      </w:r>
      <w:r w:rsidR="007406BF" w:rsidRPr="00166346">
        <w:rPr>
          <w:rFonts w:ascii="Times New Roman" w:hAnsi="Times New Roman" w:cs="Times New Roman"/>
          <w:sz w:val="24"/>
          <w:szCs w:val="24"/>
        </w:rPr>
        <w:t xml:space="preserve">a </w:t>
      </w:r>
      <w:r w:rsidR="00A5470E" w:rsidRPr="00166346">
        <w:rPr>
          <w:rFonts w:ascii="Times New Roman" w:hAnsi="Times New Roman" w:cs="Times New Roman"/>
          <w:sz w:val="24"/>
          <w:szCs w:val="24"/>
        </w:rPr>
        <w:t>competing institutio</w:t>
      </w:r>
      <w:r w:rsidR="007406BF" w:rsidRPr="00166346">
        <w:rPr>
          <w:rFonts w:ascii="Times New Roman" w:hAnsi="Times New Roman" w:cs="Times New Roman"/>
          <w:sz w:val="24"/>
          <w:szCs w:val="24"/>
        </w:rPr>
        <w:t>n</w:t>
      </w:r>
      <w:r w:rsidR="00A5470E" w:rsidRPr="00166346">
        <w:rPr>
          <w:rFonts w:ascii="Times New Roman" w:hAnsi="Times New Roman" w:cs="Times New Roman"/>
          <w:sz w:val="24"/>
          <w:szCs w:val="24"/>
        </w:rPr>
        <w:t>. Harry Naysmith, Goldman Sach</w:t>
      </w:r>
      <w:r w:rsidR="00B45EE7" w:rsidRPr="00166346">
        <w:rPr>
          <w:rFonts w:ascii="Times New Roman" w:hAnsi="Times New Roman" w:cs="Times New Roman"/>
          <w:sz w:val="24"/>
          <w:szCs w:val="24"/>
        </w:rPr>
        <w:t>s</w:t>
      </w:r>
      <w:r w:rsidR="00A5470E" w:rsidRPr="00166346">
        <w:rPr>
          <w:rFonts w:ascii="Times New Roman" w:hAnsi="Times New Roman" w:cs="Times New Roman"/>
          <w:sz w:val="24"/>
          <w:szCs w:val="24"/>
        </w:rPr>
        <w:t xml:space="preserve">’ former head of investment banking in Southeast Asia, </w:t>
      </w:r>
      <w:r w:rsidR="00ED7DEF" w:rsidRPr="00166346">
        <w:rPr>
          <w:rFonts w:ascii="Times New Roman" w:hAnsi="Times New Roman" w:cs="Times New Roman"/>
          <w:sz w:val="24"/>
          <w:szCs w:val="24"/>
        </w:rPr>
        <w:t xml:space="preserve">was recently </w:t>
      </w:r>
      <w:r w:rsidR="007406BF" w:rsidRPr="00166346">
        <w:rPr>
          <w:rFonts w:ascii="Times New Roman" w:hAnsi="Times New Roman" w:cs="Times New Roman"/>
          <w:sz w:val="24"/>
          <w:szCs w:val="24"/>
        </w:rPr>
        <w:t>appointed</w:t>
      </w:r>
      <w:r w:rsidR="00ED7DEF" w:rsidRPr="00166346">
        <w:rPr>
          <w:rFonts w:ascii="Times New Roman" w:hAnsi="Times New Roman" w:cs="Times New Roman"/>
          <w:sz w:val="24"/>
          <w:szCs w:val="24"/>
        </w:rPr>
        <w:t xml:space="preserve"> as Vice Chairman of Banking, Capital Markets, and Advisory for Southeast Asia</w:t>
      </w:r>
      <w:r w:rsidR="007406BF" w:rsidRPr="00166346">
        <w:rPr>
          <w:rFonts w:ascii="Times New Roman" w:hAnsi="Times New Roman" w:cs="Times New Roman"/>
          <w:sz w:val="24"/>
          <w:szCs w:val="24"/>
        </w:rPr>
        <w:t xml:space="preserve">. </w:t>
      </w:r>
      <w:r w:rsidR="00ED7DEF" w:rsidRPr="00166346">
        <w:rPr>
          <w:rFonts w:ascii="Times New Roman" w:hAnsi="Times New Roman" w:cs="Times New Roman"/>
          <w:sz w:val="24"/>
          <w:szCs w:val="24"/>
        </w:rPr>
        <w:t>The addition of Naysmith is promising as Citigroup looks to expand its IB presence in Asia through leveraging talent cultivated at its competitor</w:t>
      </w:r>
      <w:r w:rsidR="00B00F5B" w:rsidRPr="00166346">
        <w:rPr>
          <w:rFonts w:ascii="Times New Roman" w:hAnsi="Times New Roman" w:cs="Times New Roman"/>
          <w:sz w:val="24"/>
          <w:szCs w:val="24"/>
        </w:rPr>
        <w:t xml:space="preserve"> Goldman Sachs</w:t>
      </w:r>
      <w:r w:rsidR="00ED7DEF" w:rsidRPr="00166346">
        <w:rPr>
          <w:rFonts w:ascii="Times New Roman" w:hAnsi="Times New Roman" w:cs="Times New Roman"/>
          <w:sz w:val="24"/>
          <w:szCs w:val="24"/>
        </w:rPr>
        <w:t xml:space="preserve">. </w:t>
      </w:r>
      <w:r w:rsidR="00B00F5B" w:rsidRPr="00166346">
        <w:rPr>
          <w:rFonts w:ascii="Times New Roman" w:hAnsi="Times New Roman" w:cs="Times New Roman"/>
          <w:sz w:val="24"/>
          <w:szCs w:val="24"/>
        </w:rPr>
        <w:t xml:space="preserve">Although positive news, Citigroup traded down </w:t>
      </w:r>
      <w:r w:rsidR="00E21AD1">
        <w:rPr>
          <w:rFonts w:ascii="Times New Roman" w:hAnsi="Times New Roman" w:cs="Times New Roman"/>
          <w:sz w:val="24"/>
          <w:szCs w:val="24"/>
        </w:rPr>
        <w:t>this</w:t>
      </w:r>
      <w:r w:rsidR="00B00F5B" w:rsidRPr="00166346">
        <w:rPr>
          <w:rFonts w:ascii="Times New Roman" w:hAnsi="Times New Roman" w:cs="Times New Roman"/>
          <w:sz w:val="24"/>
          <w:szCs w:val="24"/>
        </w:rPr>
        <w:t xml:space="preserve"> week</w:t>
      </w:r>
      <w:r w:rsidR="003C7561" w:rsidRPr="00166346">
        <w:rPr>
          <w:rFonts w:ascii="Times New Roman" w:hAnsi="Times New Roman" w:cs="Times New Roman"/>
          <w:sz w:val="24"/>
          <w:szCs w:val="24"/>
        </w:rPr>
        <w:t xml:space="preserve">, </w:t>
      </w:r>
      <w:r w:rsidR="00014C78" w:rsidRPr="00166346">
        <w:rPr>
          <w:rFonts w:ascii="Times New Roman" w:hAnsi="Times New Roman" w:cs="Times New Roman"/>
          <w:sz w:val="24"/>
          <w:szCs w:val="24"/>
        </w:rPr>
        <w:t xml:space="preserve">likely due to </w:t>
      </w:r>
      <w:r w:rsidR="003C7561" w:rsidRPr="00166346">
        <w:rPr>
          <w:rFonts w:ascii="Times New Roman" w:hAnsi="Times New Roman" w:cs="Times New Roman"/>
          <w:sz w:val="24"/>
          <w:szCs w:val="24"/>
        </w:rPr>
        <w:t>profit taking.</w:t>
      </w:r>
      <w:r w:rsidR="005005D2">
        <w:rPr>
          <w:rFonts w:ascii="Times New Roman" w:hAnsi="Times New Roman" w:cs="Times New Roman"/>
          <w:sz w:val="24"/>
          <w:szCs w:val="24"/>
        </w:rPr>
        <w:t xml:space="preserve"> </w:t>
      </w:r>
      <w:hyperlink r:id="rId8" w:history="1">
        <w:r w:rsidR="006274D6" w:rsidRPr="00166346">
          <w:rPr>
            <w:rStyle w:val="Hyperlink"/>
            <w:rFonts w:ascii="Times New Roman" w:hAnsi="Times New Roman" w:cs="Times New Roman"/>
            <w:sz w:val="24"/>
            <w:szCs w:val="24"/>
          </w:rPr>
          <w:t>Source</w:t>
        </w:r>
      </w:hyperlink>
    </w:p>
    <w:p w14:paraId="5663E430" w14:textId="63D4CB0E" w:rsidR="00056062" w:rsidRDefault="00DD2E86" w:rsidP="005005D2">
      <w:pPr>
        <w:spacing w:line="240" w:lineRule="auto"/>
        <w:jc w:val="both"/>
        <w:rPr>
          <w:rStyle w:val="Hyperlink"/>
          <w:rFonts w:ascii="Times New Roman" w:hAnsi="Times New Roman" w:cs="Times New Roman"/>
          <w:sz w:val="24"/>
          <w:szCs w:val="24"/>
        </w:rPr>
      </w:pPr>
      <w:r w:rsidRPr="00166346">
        <w:rPr>
          <w:rFonts w:ascii="Times New Roman" w:hAnsi="Times New Roman" w:cs="Times New Roman"/>
          <w:b/>
          <w:bCs/>
          <w:sz w:val="24"/>
          <w:szCs w:val="24"/>
        </w:rPr>
        <w:lastRenderedPageBreak/>
        <w:t>MS:</w:t>
      </w:r>
      <w:r w:rsidR="00AA0D45" w:rsidRPr="00166346">
        <w:rPr>
          <w:rFonts w:ascii="Times New Roman" w:hAnsi="Times New Roman" w:cs="Times New Roman"/>
          <w:sz w:val="24"/>
          <w:szCs w:val="24"/>
        </w:rPr>
        <w:t xml:space="preserve"> </w:t>
      </w:r>
      <w:r w:rsidR="00851854" w:rsidRPr="00166346">
        <w:rPr>
          <w:rFonts w:ascii="Times New Roman" w:hAnsi="Times New Roman" w:cs="Times New Roman"/>
          <w:sz w:val="24"/>
          <w:szCs w:val="24"/>
        </w:rPr>
        <w:t xml:space="preserve">Morgan Stanley </w:t>
      </w:r>
      <w:r w:rsidR="00320AA6" w:rsidRPr="00166346">
        <w:rPr>
          <w:rFonts w:ascii="Times New Roman" w:hAnsi="Times New Roman" w:cs="Times New Roman"/>
          <w:sz w:val="24"/>
          <w:szCs w:val="24"/>
        </w:rPr>
        <w:t xml:space="preserve">traded slightly </w:t>
      </w:r>
      <w:r w:rsidR="00DB2389">
        <w:rPr>
          <w:rFonts w:ascii="Times New Roman" w:hAnsi="Times New Roman" w:cs="Times New Roman"/>
          <w:sz w:val="24"/>
          <w:szCs w:val="24"/>
        </w:rPr>
        <w:t>down</w:t>
      </w:r>
      <w:r w:rsidR="00320AA6" w:rsidRPr="00166346">
        <w:rPr>
          <w:rFonts w:ascii="Times New Roman" w:hAnsi="Times New Roman" w:cs="Times New Roman"/>
          <w:sz w:val="24"/>
          <w:szCs w:val="24"/>
        </w:rPr>
        <w:t xml:space="preserve"> </w:t>
      </w:r>
      <w:r w:rsidR="00DB2389">
        <w:rPr>
          <w:rFonts w:ascii="Times New Roman" w:hAnsi="Times New Roman" w:cs="Times New Roman"/>
          <w:sz w:val="24"/>
          <w:szCs w:val="24"/>
        </w:rPr>
        <w:t>this</w:t>
      </w:r>
      <w:r w:rsidR="00320AA6" w:rsidRPr="00166346">
        <w:rPr>
          <w:rFonts w:ascii="Times New Roman" w:hAnsi="Times New Roman" w:cs="Times New Roman"/>
          <w:sz w:val="24"/>
          <w:szCs w:val="24"/>
        </w:rPr>
        <w:t xml:space="preserve"> week</w:t>
      </w:r>
      <w:r w:rsidR="00DB2389">
        <w:rPr>
          <w:rFonts w:ascii="Times New Roman" w:hAnsi="Times New Roman" w:cs="Times New Roman"/>
          <w:sz w:val="24"/>
          <w:szCs w:val="24"/>
        </w:rPr>
        <w:t xml:space="preserve"> although</w:t>
      </w:r>
      <w:r w:rsidR="00320AA6" w:rsidRPr="00166346">
        <w:rPr>
          <w:rFonts w:ascii="Times New Roman" w:hAnsi="Times New Roman" w:cs="Times New Roman"/>
          <w:sz w:val="24"/>
          <w:szCs w:val="24"/>
        </w:rPr>
        <w:t xml:space="preserve"> positive news that the firm </w:t>
      </w:r>
      <w:r w:rsidR="00851854" w:rsidRPr="00166346">
        <w:rPr>
          <w:rFonts w:ascii="Times New Roman" w:hAnsi="Times New Roman" w:cs="Times New Roman"/>
          <w:sz w:val="24"/>
          <w:szCs w:val="24"/>
        </w:rPr>
        <w:t xml:space="preserve">has raised </w:t>
      </w:r>
      <w:r w:rsidR="008B2D3D" w:rsidRPr="00166346">
        <w:rPr>
          <w:rFonts w:ascii="Times New Roman" w:hAnsi="Times New Roman" w:cs="Times New Roman"/>
          <w:sz w:val="24"/>
          <w:szCs w:val="24"/>
        </w:rPr>
        <w:t xml:space="preserve">over </w:t>
      </w:r>
      <w:r w:rsidR="00851854" w:rsidRPr="00166346">
        <w:rPr>
          <w:rFonts w:ascii="Times New Roman" w:hAnsi="Times New Roman" w:cs="Times New Roman"/>
          <w:sz w:val="24"/>
          <w:szCs w:val="24"/>
        </w:rPr>
        <w:t xml:space="preserve">$3B to support a new fund </w:t>
      </w:r>
      <w:r w:rsidR="008B2D3D" w:rsidRPr="00166346">
        <w:rPr>
          <w:rFonts w:ascii="Times New Roman" w:hAnsi="Times New Roman" w:cs="Times New Roman"/>
          <w:sz w:val="24"/>
          <w:szCs w:val="24"/>
        </w:rPr>
        <w:t>betting</w:t>
      </w:r>
      <w:r w:rsidR="00851854" w:rsidRPr="00166346">
        <w:rPr>
          <w:rFonts w:ascii="Times New Roman" w:hAnsi="Times New Roman" w:cs="Times New Roman"/>
          <w:sz w:val="24"/>
          <w:szCs w:val="24"/>
        </w:rPr>
        <w:t xml:space="preserve"> on </w:t>
      </w:r>
      <w:r w:rsidR="008B2D3D" w:rsidRPr="00166346">
        <w:rPr>
          <w:rFonts w:ascii="Times New Roman" w:hAnsi="Times New Roman" w:cs="Times New Roman"/>
          <w:sz w:val="24"/>
          <w:szCs w:val="24"/>
        </w:rPr>
        <w:t xml:space="preserve">the </w:t>
      </w:r>
      <w:r w:rsidR="00851854" w:rsidRPr="00166346">
        <w:rPr>
          <w:rFonts w:ascii="Times New Roman" w:hAnsi="Times New Roman" w:cs="Times New Roman"/>
          <w:sz w:val="24"/>
          <w:szCs w:val="24"/>
        </w:rPr>
        <w:t>global real estate</w:t>
      </w:r>
      <w:r w:rsidR="008B2D3D" w:rsidRPr="00166346">
        <w:rPr>
          <w:rFonts w:ascii="Times New Roman" w:hAnsi="Times New Roman" w:cs="Times New Roman"/>
          <w:sz w:val="24"/>
          <w:szCs w:val="24"/>
        </w:rPr>
        <w:t xml:space="preserve"> market</w:t>
      </w:r>
      <w:r w:rsidR="00DB2389">
        <w:rPr>
          <w:rFonts w:ascii="Times New Roman" w:hAnsi="Times New Roman" w:cs="Times New Roman"/>
          <w:sz w:val="24"/>
          <w:szCs w:val="24"/>
        </w:rPr>
        <w:t xml:space="preserve"> was announced</w:t>
      </w:r>
      <w:r w:rsidR="002644A1">
        <w:rPr>
          <w:rFonts w:ascii="Times New Roman" w:hAnsi="Times New Roman" w:cs="Times New Roman"/>
          <w:sz w:val="24"/>
          <w:szCs w:val="24"/>
        </w:rPr>
        <w:t xml:space="preserve"> on Thursday</w:t>
      </w:r>
      <w:r w:rsidR="00851854" w:rsidRPr="00166346">
        <w:rPr>
          <w:rFonts w:ascii="Times New Roman" w:hAnsi="Times New Roman" w:cs="Times New Roman"/>
          <w:sz w:val="24"/>
          <w:szCs w:val="24"/>
        </w:rPr>
        <w:t xml:space="preserve">. The North Haven Real Estate Fund X Global LP </w:t>
      </w:r>
      <w:r w:rsidR="004911E7" w:rsidRPr="00166346">
        <w:rPr>
          <w:rFonts w:ascii="Times New Roman" w:hAnsi="Times New Roman" w:cs="Times New Roman"/>
          <w:sz w:val="24"/>
          <w:szCs w:val="24"/>
        </w:rPr>
        <w:t>was established to</w:t>
      </w:r>
      <w:r w:rsidR="008B2D3D" w:rsidRPr="00166346">
        <w:rPr>
          <w:rFonts w:ascii="Times New Roman" w:hAnsi="Times New Roman" w:cs="Times New Roman"/>
          <w:sz w:val="24"/>
          <w:szCs w:val="24"/>
        </w:rPr>
        <w:t xml:space="preserve"> invest resources </w:t>
      </w:r>
      <w:r w:rsidR="004911E7" w:rsidRPr="00166346">
        <w:rPr>
          <w:rFonts w:ascii="Times New Roman" w:hAnsi="Times New Roman" w:cs="Times New Roman"/>
          <w:sz w:val="24"/>
          <w:szCs w:val="24"/>
        </w:rPr>
        <w:t>in</w:t>
      </w:r>
      <w:r w:rsidR="008B2D3D" w:rsidRPr="00166346">
        <w:rPr>
          <w:rFonts w:ascii="Times New Roman" w:hAnsi="Times New Roman" w:cs="Times New Roman"/>
          <w:sz w:val="24"/>
          <w:szCs w:val="24"/>
        </w:rPr>
        <w:t xml:space="preserve">to </w:t>
      </w:r>
      <w:r w:rsidR="004911E7" w:rsidRPr="00166346">
        <w:rPr>
          <w:rFonts w:ascii="Times New Roman" w:hAnsi="Times New Roman" w:cs="Times New Roman"/>
          <w:sz w:val="24"/>
          <w:szCs w:val="24"/>
        </w:rPr>
        <w:t xml:space="preserve">the </w:t>
      </w:r>
      <w:r w:rsidR="008B2D3D" w:rsidRPr="00166346">
        <w:rPr>
          <w:rFonts w:ascii="Times New Roman" w:hAnsi="Times New Roman" w:cs="Times New Roman"/>
          <w:sz w:val="24"/>
          <w:szCs w:val="24"/>
        </w:rPr>
        <w:t>develop</w:t>
      </w:r>
      <w:r w:rsidR="004911E7" w:rsidRPr="00166346">
        <w:rPr>
          <w:rFonts w:ascii="Times New Roman" w:hAnsi="Times New Roman" w:cs="Times New Roman"/>
          <w:sz w:val="24"/>
          <w:szCs w:val="24"/>
        </w:rPr>
        <w:t>ment</w:t>
      </w:r>
      <w:r w:rsidR="008B2D3D" w:rsidRPr="00166346">
        <w:rPr>
          <w:rFonts w:ascii="Times New Roman" w:hAnsi="Times New Roman" w:cs="Times New Roman"/>
          <w:sz w:val="24"/>
          <w:szCs w:val="24"/>
        </w:rPr>
        <w:t xml:space="preserve"> and renovat</w:t>
      </w:r>
      <w:r w:rsidR="004911E7" w:rsidRPr="00166346">
        <w:rPr>
          <w:rFonts w:ascii="Times New Roman" w:hAnsi="Times New Roman" w:cs="Times New Roman"/>
          <w:sz w:val="24"/>
          <w:szCs w:val="24"/>
        </w:rPr>
        <w:t>ion</w:t>
      </w:r>
      <w:r w:rsidR="008B2D3D" w:rsidRPr="00166346">
        <w:rPr>
          <w:rFonts w:ascii="Times New Roman" w:hAnsi="Times New Roman" w:cs="Times New Roman"/>
          <w:sz w:val="24"/>
          <w:szCs w:val="24"/>
        </w:rPr>
        <w:t xml:space="preserve"> of residential and industrial properties</w:t>
      </w:r>
      <w:r w:rsidR="004911E7" w:rsidRPr="00166346">
        <w:rPr>
          <w:rFonts w:ascii="Times New Roman" w:hAnsi="Times New Roman" w:cs="Times New Roman"/>
          <w:sz w:val="24"/>
          <w:szCs w:val="24"/>
        </w:rPr>
        <w:t xml:space="preserve"> </w:t>
      </w:r>
      <w:r w:rsidR="0070680A" w:rsidRPr="00166346">
        <w:rPr>
          <w:rFonts w:ascii="Times New Roman" w:hAnsi="Times New Roman" w:cs="Times New Roman"/>
          <w:sz w:val="24"/>
          <w:szCs w:val="24"/>
        </w:rPr>
        <w:t xml:space="preserve">said to </w:t>
      </w:r>
      <w:r w:rsidR="004911E7" w:rsidRPr="00166346">
        <w:rPr>
          <w:rFonts w:ascii="Times New Roman" w:hAnsi="Times New Roman" w:cs="Times New Roman"/>
          <w:sz w:val="24"/>
          <w:szCs w:val="24"/>
        </w:rPr>
        <w:t xml:space="preserve">“fundamentally” offer promising returns “exacerbated by COVID”. </w:t>
      </w:r>
      <w:r w:rsidR="0099691E" w:rsidRPr="00166346">
        <w:rPr>
          <w:rFonts w:ascii="Times New Roman" w:hAnsi="Times New Roman" w:cs="Times New Roman"/>
          <w:sz w:val="24"/>
          <w:szCs w:val="24"/>
        </w:rPr>
        <w:t>The introduction of this fund is the latest chapter in MS</w:t>
      </w:r>
      <w:r w:rsidR="00E21AD1">
        <w:rPr>
          <w:rFonts w:ascii="Times New Roman" w:hAnsi="Times New Roman" w:cs="Times New Roman"/>
          <w:sz w:val="24"/>
          <w:szCs w:val="24"/>
        </w:rPr>
        <w:t>’s</w:t>
      </w:r>
      <w:r w:rsidR="0099691E" w:rsidRPr="00166346">
        <w:rPr>
          <w:rFonts w:ascii="Times New Roman" w:hAnsi="Times New Roman" w:cs="Times New Roman"/>
          <w:sz w:val="24"/>
          <w:szCs w:val="24"/>
        </w:rPr>
        <w:t xml:space="preserve"> commitment to increasing its alternatives platform, which has over $100B in AUM, over half of which are in real assets. MS</w:t>
      </w:r>
      <w:r w:rsidR="00E21AD1">
        <w:rPr>
          <w:rFonts w:ascii="Times New Roman" w:hAnsi="Times New Roman" w:cs="Times New Roman"/>
          <w:sz w:val="24"/>
          <w:szCs w:val="24"/>
        </w:rPr>
        <w:t>’s</w:t>
      </w:r>
      <w:r w:rsidR="0099691E" w:rsidRPr="00166346">
        <w:rPr>
          <w:rFonts w:ascii="Times New Roman" w:hAnsi="Times New Roman" w:cs="Times New Roman"/>
          <w:sz w:val="24"/>
          <w:szCs w:val="24"/>
        </w:rPr>
        <w:t xml:space="preserve"> </w:t>
      </w:r>
      <w:r w:rsidR="0070680A" w:rsidRPr="00166346">
        <w:rPr>
          <w:rFonts w:ascii="Times New Roman" w:hAnsi="Times New Roman" w:cs="Times New Roman"/>
          <w:sz w:val="24"/>
          <w:szCs w:val="24"/>
        </w:rPr>
        <w:t xml:space="preserve">significant </w:t>
      </w:r>
      <w:r w:rsidR="0099691E" w:rsidRPr="00166346">
        <w:rPr>
          <w:rFonts w:ascii="Times New Roman" w:hAnsi="Times New Roman" w:cs="Times New Roman"/>
          <w:sz w:val="24"/>
          <w:szCs w:val="24"/>
        </w:rPr>
        <w:t xml:space="preserve">focus </w:t>
      </w:r>
      <w:r w:rsidR="0070680A" w:rsidRPr="00166346">
        <w:rPr>
          <w:rFonts w:ascii="Times New Roman" w:hAnsi="Times New Roman" w:cs="Times New Roman"/>
          <w:sz w:val="24"/>
          <w:szCs w:val="24"/>
        </w:rPr>
        <w:t>and commitment to</w:t>
      </w:r>
      <w:r w:rsidR="0099691E" w:rsidRPr="00166346">
        <w:rPr>
          <w:rFonts w:ascii="Times New Roman" w:hAnsi="Times New Roman" w:cs="Times New Roman"/>
          <w:sz w:val="24"/>
          <w:szCs w:val="24"/>
        </w:rPr>
        <w:t xml:space="preserve"> real assets is noteworthy </w:t>
      </w:r>
      <w:r w:rsidR="0070680A" w:rsidRPr="00166346">
        <w:rPr>
          <w:rFonts w:ascii="Times New Roman" w:hAnsi="Times New Roman" w:cs="Times New Roman"/>
          <w:sz w:val="24"/>
          <w:szCs w:val="24"/>
        </w:rPr>
        <w:t>as these investments offer</w:t>
      </w:r>
      <w:r w:rsidR="0099691E" w:rsidRPr="00166346">
        <w:rPr>
          <w:rFonts w:ascii="Times New Roman" w:hAnsi="Times New Roman" w:cs="Times New Roman"/>
          <w:sz w:val="24"/>
          <w:szCs w:val="24"/>
        </w:rPr>
        <w:t xml:space="preserve"> diversification and inflation protection benefits</w:t>
      </w:r>
      <w:r w:rsidR="0070680A" w:rsidRPr="00166346">
        <w:rPr>
          <w:rFonts w:ascii="Times New Roman" w:hAnsi="Times New Roman" w:cs="Times New Roman"/>
          <w:sz w:val="24"/>
          <w:szCs w:val="24"/>
        </w:rPr>
        <w:t xml:space="preserve"> on top of return. </w:t>
      </w:r>
      <w:r w:rsidR="005568DA">
        <w:fldChar w:fldCharType="begin"/>
      </w:r>
      <w:r w:rsidR="005568DA">
        <w:instrText xml:space="preserve"> HYPERLINK "https://finance.yahoo.com/news/morgan-stanley-raises-3-1-040100956.html" </w:instrText>
      </w:r>
      <w:r w:rsidR="005568DA">
        <w:fldChar w:fldCharType="separate"/>
      </w:r>
      <w:r w:rsidR="00B45EE7" w:rsidRPr="00166346">
        <w:rPr>
          <w:rStyle w:val="Hyperlink"/>
          <w:rFonts w:ascii="Times New Roman" w:hAnsi="Times New Roman" w:cs="Times New Roman"/>
          <w:sz w:val="24"/>
          <w:szCs w:val="24"/>
        </w:rPr>
        <w:t>Source</w:t>
      </w:r>
      <w:r w:rsidR="005568DA">
        <w:rPr>
          <w:rStyle w:val="Hyperlink"/>
          <w:rFonts w:ascii="Times New Roman" w:hAnsi="Times New Roman" w:cs="Times New Roman"/>
          <w:sz w:val="24"/>
          <w:szCs w:val="24"/>
        </w:rPr>
        <w:fldChar w:fldCharType="end"/>
      </w:r>
    </w:p>
    <w:p w14:paraId="6019A131" w14:textId="77777777" w:rsidR="005005D2" w:rsidRPr="005005D2" w:rsidRDefault="005005D2" w:rsidP="005005D2">
      <w:pPr>
        <w:spacing w:line="240" w:lineRule="auto"/>
        <w:jc w:val="both"/>
        <w:rPr>
          <w:rStyle w:val="Hyperlink"/>
          <w:rFonts w:ascii="Times New Roman" w:hAnsi="Times New Roman" w:cs="Times New Roman"/>
          <w:sz w:val="2"/>
          <w:szCs w:val="2"/>
        </w:rPr>
      </w:pPr>
    </w:p>
    <w:p w14:paraId="60D3CB8E" w14:textId="50AB6779" w:rsidR="005005D2" w:rsidRDefault="005005D2" w:rsidP="00CB1778">
      <w:pPr>
        <w:pBdr>
          <w:bottom w:val="single" w:sz="4" w:space="1" w:color="auto"/>
        </w:pBdr>
        <w:spacing w:line="240" w:lineRule="auto"/>
        <w:jc w:val="both"/>
        <w:rPr>
          <w:rFonts w:ascii="Times New Roman" w:hAnsi="Times New Roman" w:cs="Times New Roman"/>
          <w:sz w:val="24"/>
          <w:szCs w:val="24"/>
        </w:rPr>
      </w:pPr>
      <w:r w:rsidRPr="00166346">
        <w:rPr>
          <w:rFonts w:ascii="Times New Roman" w:hAnsi="Times New Roman" w:cs="Times New Roman"/>
          <w:b/>
          <w:bCs/>
          <w:sz w:val="24"/>
          <w:szCs w:val="24"/>
        </w:rPr>
        <w:t xml:space="preserve">CB: </w:t>
      </w:r>
      <w:r w:rsidRPr="00166346">
        <w:rPr>
          <w:rFonts w:ascii="Times New Roman" w:hAnsi="Times New Roman" w:cs="Times New Roman"/>
          <w:sz w:val="24"/>
          <w:szCs w:val="24"/>
        </w:rPr>
        <w:t>No actionable news</w:t>
      </w:r>
      <w:r w:rsidR="0014705F">
        <w:rPr>
          <w:rFonts w:ascii="Times New Roman" w:hAnsi="Times New Roman" w:cs="Times New Roman"/>
          <w:sz w:val="24"/>
          <w:szCs w:val="24"/>
        </w:rPr>
        <w:t>.</w:t>
      </w:r>
    </w:p>
    <w:p w14:paraId="66882B2E" w14:textId="77777777" w:rsidR="00CB1778" w:rsidRPr="00CB1778" w:rsidRDefault="00CB1778" w:rsidP="00CB1778">
      <w:pPr>
        <w:pBdr>
          <w:bottom w:val="single" w:sz="4" w:space="1" w:color="auto"/>
        </w:pBdr>
        <w:spacing w:line="240" w:lineRule="auto"/>
        <w:jc w:val="both"/>
        <w:rPr>
          <w:rStyle w:val="Hyperlink"/>
          <w:rFonts w:ascii="Times New Roman" w:hAnsi="Times New Roman" w:cs="Times New Roman"/>
          <w:color w:val="auto"/>
          <w:sz w:val="2"/>
          <w:szCs w:val="2"/>
          <w:u w:val="none"/>
        </w:rPr>
      </w:pPr>
    </w:p>
    <w:p w14:paraId="387355B1" w14:textId="77777777" w:rsidR="005005D2" w:rsidRPr="005005D2" w:rsidRDefault="005005D2" w:rsidP="005005D2">
      <w:pPr>
        <w:spacing w:line="240" w:lineRule="auto"/>
        <w:jc w:val="both"/>
        <w:rPr>
          <w:rFonts w:ascii="Times New Roman" w:hAnsi="Times New Roman" w:cs="Times New Roman"/>
          <w:sz w:val="2"/>
          <w:szCs w:val="2"/>
        </w:rPr>
      </w:pPr>
    </w:p>
    <w:p w14:paraId="792A1699" w14:textId="39D38E05" w:rsidR="00774A48" w:rsidRPr="00056062" w:rsidRDefault="00774A48" w:rsidP="005005D2">
      <w:pPr>
        <w:spacing w:line="240" w:lineRule="auto"/>
        <w:jc w:val="both"/>
        <w:rPr>
          <w:rFonts w:ascii="Times New Roman" w:hAnsi="Times New Roman" w:cs="Times New Roman"/>
          <w:sz w:val="24"/>
          <w:szCs w:val="24"/>
        </w:rPr>
      </w:pPr>
      <w:r w:rsidRPr="00056062">
        <w:rPr>
          <w:rFonts w:ascii="Times New Roman" w:hAnsi="Times New Roman" w:cs="Times New Roman"/>
          <w:b/>
          <w:bCs/>
          <w:i/>
          <w:iCs/>
          <w:color w:val="000000"/>
          <w:sz w:val="24"/>
          <w:szCs w:val="24"/>
          <w:shd w:val="clear" w:color="auto" w:fill="FFFFFF"/>
        </w:rPr>
        <w:t>INDUSTRY NEWS:</w:t>
      </w:r>
    </w:p>
    <w:p w14:paraId="17662896" w14:textId="442CF49D" w:rsidR="006274D6" w:rsidRPr="005005D2" w:rsidRDefault="003E3672" w:rsidP="005005D2">
      <w:pPr>
        <w:spacing w:line="240" w:lineRule="auto"/>
        <w:jc w:val="both"/>
        <w:rPr>
          <w:rStyle w:val="Hyperlink"/>
          <w:rFonts w:ascii="Times New Roman" w:hAnsi="Times New Roman" w:cs="Times New Roman"/>
          <w:b/>
          <w:bCs/>
          <w:sz w:val="24"/>
          <w:szCs w:val="24"/>
          <w:u w:val="none"/>
        </w:rPr>
      </w:pPr>
      <w:r w:rsidRPr="00166346">
        <w:rPr>
          <w:rStyle w:val="Hyperlink"/>
          <w:rFonts w:ascii="Times New Roman" w:hAnsi="Times New Roman" w:cs="Times New Roman"/>
          <w:b/>
          <w:bCs/>
          <w:color w:val="auto"/>
          <w:sz w:val="24"/>
          <w:szCs w:val="24"/>
          <w:u w:val="none"/>
        </w:rPr>
        <w:t xml:space="preserve">Interactive Brokers </w:t>
      </w:r>
      <w:r w:rsidR="00B45EE7" w:rsidRPr="00166346">
        <w:rPr>
          <w:rStyle w:val="Hyperlink"/>
          <w:rFonts w:ascii="Times New Roman" w:hAnsi="Times New Roman" w:cs="Times New Roman"/>
          <w:b/>
          <w:bCs/>
          <w:color w:val="auto"/>
          <w:sz w:val="24"/>
          <w:szCs w:val="24"/>
          <w:u w:val="none"/>
        </w:rPr>
        <w:t>L</w:t>
      </w:r>
      <w:r w:rsidRPr="00166346">
        <w:rPr>
          <w:rStyle w:val="Hyperlink"/>
          <w:rFonts w:ascii="Times New Roman" w:hAnsi="Times New Roman" w:cs="Times New Roman"/>
          <w:b/>
          <w:bCs/>
          <w:color w:val="auto"/>
          <w:sz w:val="24"/>
          <w:szCs w:val="24"/>
          <w:u w:val="none"/>
        </w:rPr>
        <w:t xml:space="preserve">aunches </w:t>
      </w:r>
      <w:r w:rsidR="00B45EE7" w:rsidRPr="00166346">
        <w:rPr>
          <w:rStyle w:val="Hyperlink"/>
          <w:rFonts w:ascii="Times New Roman" w:hAnsi="Times New Roman" w:cs="Times New Roman"/>
          <w:b/>
          <w:bCs/>
          <w:color w:val="auto"/>
          <w:sz w:val="24"/>
          <w:szCs w:val="24"/>
          <w:u w:val="none"/>
        </w:rPr>
        <w:t>C</w:t>
      </w:r>
      <w:r w:rsidRPr="00166346">
        <w:rPr>
          <w:rStyle w:val="Hyperlink"/>
          <w:rFonts w:ascii="Times New Roman" w:hAnsi="Times New Roman" w:cs="Times New Roman"/>
          <w:b/>
          <w:bCs/>
          <w:color w:val="auto"/>
          <w:sz w:val="24"/>
          <w:szCs w:val="24"/>
          <w:u w:val="none"/>
        </w:rPr>
        <w:t xml:space="preserve">ryptocurrency </w:t>
      </w:r>
      <w:r w:rsidR="00B45EE7" w:rsidRPr="00166346">
        <w:rPr>
          <w:rStyle w:val="Hyperlink"/>
          <w:rFonts w:ascii="Times New Roman" w:hAnsi="Times New Roman" w:cs="Times New Roman"/>
          <w:b/>
          <w:bCs/>
          <w:color w:val="auto"/>
          <w:sz w:val="24"/>
          <w:szCs w:val="24"/>
          <w:u w:val="none"/>
        </w:rPr>
        <w:t>T</w:t>
      </w:r>
      <w:r w:rsidRPr="00166346">
        <w:rPr>
          <w:rStyle w:val="Hyperlink"/>
          <w:rFonts w:ascii="Times New Roman" w:hAnsi="Times New Roman" w:cs="Times New Roman"/>
          <w:b/>
          <w:bCs/>
          <w:color w:val="auto"/>
          <w:sz w:val="24"/>
          <w:szCs w:val="24"/>
          <w:u w:val="none"/>
        </w:rPr>
        <w:t xml:space="preserve">rading for </w:t>
      </w:r>
      <w:r w:rsidR="00B45EE7" w:rsidRPr="00166346">
        <w:rPr>
          <w:rStyle w:val="Hyperlink"/>
          <w:rFonts w:ascii="Times New Roman" w:hAnsi="Times New Roman" w:cs="Times New Roman"/>
          <w:b/>
          <w:bCs/>
          <w:color w:val="auto"/>
          <w:sz w:val="24"/>
          <w:szCs w:val="24"/>
          <w:u w:val="none"/>
        </w:rPr>
        <w:t>C</w:t>
      </w:r>
      <w:r w:rsidRPr="00166346">
        <w:rPr>
          <w:rStyle w:val="Hyperlink"/>
          <w:rFonts w:ascii="Times New Roman" w:hAnsi="Times New Roman" w:cs="Times New Roman"/>
          <w:b/>
          <w:bCs/>
          <w:color w:val="auto"/>
          <w:sz w:val="24"/>
          <w:szCs w:val="24"/>
          <w:u w:val="none"/>
        </w:rPr>
        <w:t>lients</w:t>
      </w:r>
      <w:r w:rsidR="005005D2">
        <w:rPr>
          <w:rStyle w:val="Hyperlink"/>
          <w:rFonts w:ascii="Times New Roman" w:hAnsi="Times New Roman" w:cs="Times New Roman"/>
          <w:b/>
          <w:bCs/>
          <w:sz w:val="24"/>
          <w:szCs w:val="24"/>
          <w:u w:val="none"/>
        </w:rPr>
        <w:t xml:space="preserve">: </w:t>
      </w:r>
      <w:r w:rsidR="005005D2">
        <w:rPr>
          <w:rStyle w:val="Hyperlink"/>
          <w:rFonts w:ascii="Times New Roman" w:hAnsi="Times New Roman" w:cs="Times New Roman"/>
          <w:b/>
          <w:bCs/>
          <w:sz w:val="24"/>
          <w:szCs w:val="24"/>
          <w:u w:val="none"/>
        </w:rPr>
        <w:tab/>
      </w:r>
      <w:r w:rsidR="005005D2">
        <w:rPr>
          <w:rStyle w:val="Hyperlink"/>
          <w:rFonts w:ascii="Times New Roman" w:hAnsi="Times New Roman" w:cs="Times New Roman"/>
          <w:b/>
          <w:bCs/>
          <w:sz w:val="24"/>
          <w:szCs w:val="24"/>
          <w:u w:val="none"/>
        </w:rPr>
        <w:tab/>
        <w:t xml:space="preserve">               </w:t>
      </w:r>
      <w:r w:rsidR="009C5FC2" w:rsidRPr="00166346">
        <w:rPr>
          <w:rFonts w:ascii="Times New Roman" w:hAnsi="Times New Roman" w:cs="Times New Roman"/>
          <w:sz w:val="24"/>
          <w:szCs w:val="24"/>
        </w:rPr>
        <w:t xml:space="preserve">Interactive Brokers has expanded its offerings to include cryptocurrency trading, becoming one of the only major retail brokerages to enable clients to directly </w:t>
      </w:r>
      <w:r w:rsidR="001E3383" w:rsidRPr="00166346">
        <w:rPr>
          <w:rFonts w:ascii="Times New Roman" w:hAnsi="Times New Roman" w:cs="Times New Roman"/>
          <w:sz w:val="24"/>
          <w:szCs w:val="24"/>
        </w:rPr>
        <w:t xml:space="preserve">buy and sell </w:t>
      </w:r>
      <w:r w:rsidR="009C5FC2" w:rsidRPr="00166346">
        <w:rPr>
          <w:rFonts w:ascii="Times New Roman" w:hAnsi="Times New Roman" w:cs="Times New Roman"/>
          <w:sz w:val="24"/>
          <w:szCs w:val="24"/>
        </w:rPr>
        <w:t>cryptocurrencies</w:t>
      </w:r>
      <w:r w:rsidR="002368AF" w:rsidRPr="00166346">
        <w:rPr>
          <w:rFonts w:ascii="Times New Roman" w:hAnsi="Times New Roman" w:cs="Times New Roman"/>
          <w:sz w:val="24"/>
          <w:szCs w:val="24"/>
        </w:rPr>
        <w:t xml:space="preserve"> for a small fee of just “0.12% - 0.18% of trade value”</w:t>
      </w:r>
      <w:r w:rsidR="009C5FC2" w:rsidRPr="00166346">
        <w:rPr>
          <w:rFonts w:ascii="Times New Roman" w:hAnsi="Times New Roman" w:cs="Times New Roman"/>
          <w:sz w:val="24"/>
          <w:szCs w:val="24"/>
        </w:rPr>
        <w:t xml:space="preserve">. Unlike its closest competitors Fidelity and Charles Swab who only offer users access to related funds </w:t>
      </w:r>
      <w:r w:rsidR="001E3383" w:rsidRPr="00166346">
        <w:rPr>
          <w:rFonts w:ascii="Times New Roman" w:hAnsi="Times New Roman" w:cs="Times New Roman"/>
          <w:sz w:val="24"/>
          <w:szCs w:val="24"/>
        </w:rPr>
        <w:t>s</w:t>
      </w:r>
      <w:r w:rsidR="009C5FC2" w:rsidRPr="00166346">
        <w:rPr>
          <w:rFonts w:ascii="Times New Roman" w:hAnsi="Times New Roman" w:cs="Times New Roman"/>
          <w:sz w:val="24"/>
          <w:szCs w:val="24"/>
        </w:rPr>
        <w:t xml:space="preserve">uch as crypto futures, Interactive Brokers </w:t>
      </w:r>
      <w:r w:rsidR="001E3383" w:rsidRPr="00166346">
        <w:rPr>
          <w:rFonts w:ascii="Times New Roman" w:hAnsi="Times New Roman" w:cs="Times New Roman"/>
          <w:sz w:val="24"/>
          <w:szCs w:val="24"/>
        </w:rPr>
        <w:t xml:space="preserve">elected to take a page out of </w:t>
      </w:r>
      <w:r w:rsidR="009C5FC2" w:rsidRPr="00166346">
        <w:rPr>
          <w:rFonts w:ascii="Times New Roman" w:hAnsi="Times New Roman" w:cs="Times New Roman"/>
          <w:sz w:val="24"/>
          <w:szCs w:val="24"/>
        </w:rPr>
        <w:t>Robinhood</w:t>
      </w:r>
      <w:r w:rsidR="001E3383" w:rsidRPr="00166346">
        <w:rPr>
          <w:rFonts w:ascii="Times New Roman" w:hAnsi="Times New Roman" w:cs="Times New Roman"/>
          <w:sz w:val="24"/>
          <w:szCs w:val="24"/>
        </w:rPr>
        <w:t>’s playbook by allowing direct investment access. This decision could not only give Interactive Brokers an edge over its competitors, but also spark other firms to follow suit. Although promising, market reception was slightly negative as shares fell by 0.5%.</w:t>
      </w:r>
      <w:r w:rsidR="00166346">
        <w:rPr>
          <w:rStyle w:val="Hyperlink"/>
          <w:rFonts w:ascii="Times New Roman" w:hAnsi="Times New Roman" w:cs="Times New Roman"/>
          <w:color w:val="auto"/>
          <w:sz w:val="24"/>
          <w:szCs w:val="24"/>
          <w:u w:val="none"/>
        </w:rPr>
        <w:t xml:space="preserve"> </w:t>
      </w:r>
      <w:r w:rsidR="00B45EE7" w:rsidRPr="00056062">
        <w:rPr>
          <w:rFonts w:ascii="Times New Roman" w:hAnsi="Times New Roman" w:cs="Times New Roman"/>
          <w:sz w:val="24"/>
          <w:szCs w:val="24"/>
        </w:rPr>
        <w:fldChar w:fldCharType="begin"/>
      </w:r>
      <w:r w:rsidR="00B45EE7" w:rsidRPr="00166346">
        <w:rPr>
          <w:rFonts w:ascii="Times New Roman" w:hAnsi="Times New Roman" w:cs="Times New Roman"/>
          <w:sz w:val="24"/>
          <w:szCs w:val="24"/>
        </w:rPr>
        <w:instrText xml:space="preserve"> HYPERLINK "https://markets.businessinsider.com/news/currencies/cryptocurrency-trading-interactive-brokers-crypto-bitcoin-ether-retail-investors-2021-9" </w:instrText>
      </w:r>
      <w:r w:rsidR="00B45EE7" w:rsidRPr="00056062">
        <w:rPr>
          <w:rFonts w:ascii="Times New Roman" w:hAnsi="Times New Roman" w:cs="Times New Roman"/>
          <w:sz w:val="24"/>
          <w:szCs w:val="24"/>
        </w:rPr>
        <w:fldChar w:fldCharType="separate"/>
      </w:r>
      <w:r w:rsidR="00B45EE7" w:rsidRPr="00166346">
        <w:rPr>
          <w:rStyle w:val="Hyperlink"/>
          <w:rFonts w:ascii="Times New Roman" w:hAnsi="Times New Roman" w:cs="Times New Roman"/>
          <w:sz w:val="24"/>
          <w:szCs w:val="24"/>
        </w:rPr>
        <w:t>Source</w:t>
      </w:r>
    </w:p>
    <w:p w14:paraId="5A0B7408" w14:textId="77777777" w:rsidR="005005D2" w:rsidRPr="005005D2" w:rsidRDefault="00B45EE7" w:rsidP="005005D2">
      <w:pPr>
        <w:jc w:val="both"/>
        <w:rPr>
          <w:sz w:val="2"/>
          <w:szCs w:val="2"/>
        </w:rPr>
      </w:pPr>
      <w:r w:rsidRPr="00056062">
        <w:fldChar w:fldCharType="end"/>
      </w:r>
    </w:p>
    <w:p w14:paraId="05F7A49E" w14:textId="75A0C6D6" w:rsidR="003E3672" w:rsidRPr="00166346" w:rsidRDefault="003E3672" w:rsidP="005005D2">
      <w:pPr>
        <w:jc w:val="both"/>
        <w:rPr>
          <w:rStyle w:val="Hyperlink"/>
          <w:rFonts w:ascii="Times New Roman" w:hAnsi="Times New Roman" w:cs="Times New Roman"/>
          <w:color w:val="auto"/>
          <w:sz w:val="24"/>
          <w:szCs w:val="24"/>
          <w:u w:val="none"/>
        </w:rPr>
      </w:pPr>
      <w:r w:rsidRPr="00166346">
        <w:rPr>
          <w:rFonts w:ascii="Times New Roman" w:hAnsi="Times New Roman" w:cs="Times New Roman"/>
          <w:b/>
          <w:bCs/>
          <w:sz w:val="24"/>
          <w:szCs w:val="24"/>
        </w:rPr>
        <w:t xml:space="preserve">In a </w:t>
      </w:r>
      <w:r w:rsidR="00110CE5" w:rsidRPr="00166346">
        <w:rPr>
          <w:rFonts w:ascii="Times New Roman" w:hAnsi="Times New Roman" w:cs="Times New Roman"/>
          <w:b/>
          <w:bCs/>
          <w:sz w:val="24"/>
          <w:szCs w:val="24"/>
        </w:rPr>
        <w:t>F</w:t>
      </w:r>
      <w:r w:rsidRPr="00166346">
        <w:rPr>
          <w:rFonts w:ascii="Times New Roman" w:hAnsi="Times New Roman" w:cs="Times New Roman"/>
          <w:b/>
          <w:bCs/>
          <w:sz w:val="24"/>
          <w:szCs w:val="24"/>
        </w:rPr>
        <w:t xml:space="preserve">irst, Amazon to </w:t>
      </w:r>
      <w:r w:rsidR="00110CE5" w:rsidRPr="00166346">
        <w:rPr>
          <w:rFonts w:ascii="Times New Roman" w:hAnsi="Times New Roman" w:cs="Times New Roman"/>
          <w:b/>
          <w:bCs/>
          <w:sz w:val="24"/>
          <w:szCs w:val="24"/>
        </w:rPr>
        <w:t>O</w:t>
      </w:r>
      <w:r w:rsidRPr="00166346">
        <w:rPr>
          <w:rFonts w:ascii="Times New Roman" w:hAnsi="Times New Roman" w:cs="Times New Roman"/>
          <w:b/>
          <w:bCs/>
          <w:sz w:val="24"/>
          <w:szCs w:val="24"/>
        </w:rPr>
        <w:t xml:space="preserve">ffer </w:t>
      </w:r>
      <w:r w:rsidR="00110CE5" w:rsidRPr="00166346">
        <w:rPr>
          <w:rFonts w:ascii="Times New Roman" w:hAnsi="Times New Roman" w:cs="Times New Roman"/>
          <w:b/>
          <w:bCs/>
          <w:sz w:val="24"/>
          <w:szCs w:val="24"/>
        </w:rPr>
        <w:t>W</w:t>
      </w:r>
      <w:r w:rsidRPr="00166346">
        <w:rPr>
          <w:rFonts w:ascii="Times New Roman" w:hAnsi="Times New Roman" w:cs="Times New Roman"/>
          <w:b/>
          <w:bCs/>
          <w:sz w:val="24"/>
          <w:szCs w:val="24"/>
        </w:rPr>
        <w:t xml:space="preserve">ealth </w:t>
      </w:r>
      <w:r w:rsidR="00110CE5" w:rsidRPr="00166346">
        <w:rPr>
          <w:rFonts w:ascii="Times New Roman" w:hAnsi="Times New Roman" w:cs="Times New Roman"/>
          <w:b/>
          <w:bCs/>
          <w:sz w:val="24"/>
          <w:szCs w:val="24"/>
        </w:rPr>
        <w:t>M</w:t>
      </w:r>
      <w:r w:rsidR="00014C78" w:rsidRPr="00166346">
        <w:rPr>
          <w:rFonts w:ascii="Times New Roman" w:hAnsi="Times New Roman" w:cs="Times New Roman"/>
          <w:b/>
          <w:bCs/>
          <w:sz w:val="24"/>
          <w:szCs w:val="24"/>
        </w:rPr>
        <w:t xml:space="preserve">anagement </w:t>
      </w:r>
      <w:r w:rsidR="00110CE5" w:rsidRPr="00166346">
        <w:rPr>
          <w:rFonts w:ascii="Times New Roman" w:hAnsi="Times New Roman" w:cs="Times New Roman"/>
          <w:b/>
          <w:bCs/>
          <w:sz w:val="24"/>
          <w:szCs w:val="24"/>
        </w:rPr>
        <w:t>S</w:t>
      </w:r>
      <w:r w:rsidRPr="00166346">
        <w:rPr>
          <w:rFonts w:ascii="Times New Roman" w:hAnsi="Times New Roman" w:cs="Times New Roman"/>
          <w:b/>
          <w:bCs/>
          <w:sz w:val="24"/>
          <w:szCs w:val="24"/>
        </w:rPr>
        <w:t>ervice</w:t>
      </w:r>
      <w:r w:rsidR="005005D2">
        <w:rPr>
          <w:rFonts w:ascii="Times New Roman" w:hAnsi="Times New Roman" w:cs="Times New Roman"/>
          <w:sz w:val="24"/>
          <w:szCs w:val="24"/>
        </w:rPr>
        <w:t xml:space="preserve">: </w:t>
      </w:r>
      <w:r w:rsidR="005005D2">
        <w:rPr>
          <w:rFonts w:ascii="Times New Roman" w:hAnsi="Times New Roman" w:cs="Times New Roman"/>
          <w:sz w:val="24"/>
          <w:szCs w:val="24"/>
        </w:rPr>
        <w:tab/>
      </w:r>
      <w:r w:rsidR="005005D2">
        <w:rPr>
          <w:rFonts w:ascii="Times New Roman" w:hAnsi="Times New Roman" w:cs="Times New Roman"/>
          <w:sz w:val="24"/>
          <w:szCs w:val="24"/>
        </w:rPr>
        <w:tab/>
      </w:r>
      <w:r w:rsidR="005005D2">
        <w:rPr>
          <w:rFonts w:ascii="Times New Roman" w:hAnsi="Times New Roman" w:cs="Times New Roman"/>
          <w:sz w:val="24"/>
          <w:szCs w:val="24"/>
        </w:rPr>
        <w:tab/>
        <w:t xml:space="preserve">                    </w:t>
      </w:r>
      <w:r w:rsidR="00014C78" w:rsidRPr="00166346">
        <w:rPr>
          <w:rFonts w:ascii="Times New Roman" w:hAnsi="Times New Roman" w:cs="Times New Roman"/>
          <w:sz w:val="24"/>
          <w:szCs w:val="24"/>
        </w:rPr>
        <w:t xml:space="preserve">Amazon </w:t>
      </w:r>
      <w:r w:rsidR="00056062" w:rsidRPr="00166346">
        <w:rPr>
          <w:rFonts w:ascii="Times New Roman" w:hAnsi="Times New Roman" w:cs="Times New Roman"/>
          <w:sz w:val="24"/>
          <w:szCs w:val="24"/>
        </w:rPr>
        <w:t xml:space="preserve">continued to </w:t>
      </w:r>
      <w:r w:rsidR="00014C78" w:rsidRPr="00166346">
        <w:rPr>
          <w:rFonts w:ascii="Times New Roman" w:hAnsi="Times New Roman" w:cs="Times New Roman"/>
          <w:sz w:val="24"/>
          <w:szCs w:val="24"/>
        </w:rPr>
        <w:t xml:space="preserve">increase its empire last week </w:t>
      </w:r>
      <w:r w:rsidR="00056062" w:rsidRPr="00166346">
        <w:rPr>
          <w:rFonts w:ascii="Times New Roman" w:hAnsi="Times New Roman" w:cs="Times New Roman"/>
          <w:sz w:val="24"/>
          <w:szCs w:val="24"/>
        </w:rPr>
        <w:t xml:space="preserve">as it announced </w:t>
      </w:r>
      <w:r w:rsidR="00014C78" w:rsidRPr="00166346">
        <w:rPr>
          <w:rFonts w:ascii="Times New Roman" w:hAnsi="Times New Roman" w:cs="Times New Roman"/>
          <w:sz w:val="24"/>
          <w:szCs w:val="24"/>
        </w:rPr>
        <w:t>that</w:t>
      </w:r>
      <w:r w:rsidR="00056062" w:rsidRPr="00166346">
        <w:rPr>
          <w:rFonts w:ascii="Times New Roman" w:hAnsi="Times New Roman" w:cs="Times New Roman"/>
          <w:sz w:val="24"/>
          <w:szCs w:val="24"/>
        </w:rPr>
        <w:t xml:space="preserve"> its subsidiary</w:t>
      </w:r>
      <w:r w:rsidR="00014C78" w:rsidRPr="00166346">
        <w:rPr>
          <w:rFonts w:ascii="Times New Roman" w:hAnsi="Times New Roman" w:cs="Times New Roman"/>
          <w:sz w:val="24"/>
          <w:szCs w:val="24"/>
        </w:rPr>
        <w:t xml:space="preserve"> Amazon Pay </w:t>
      </w:r>
      <w:r w:rsidR="00056062" w:rsidRPr="00166346">
        <w:rPr>
          <w:rFonts w:ascii="Times New Roman" w:hAnsi="Times New Roman" w:cs="Times New Roman"/>
          <w:sz w:val="24"/>
          <w:szCs w:val="24"/>
        </w:rPr>
        <w:t>is</w:t>
      </w:r>
      <w:r w:rsidR="00014C78" w:rsidRPr="00166346">
        <w:rPr>
          <w:rFonts w:ascii="Times New Roman" w:hAnsi="Times New Roman" w:cs="Times New Roman"/>
          <w:sz w:val="24"/>
          <w:szCs w:val="24"/>
        </w:rPr>
        <w:t xml:space="preserve"> partner</w:t>
      </w:r>
      <w:r w:rsidR="00056062" w:rsidRPr="00166346">
        <w:rPr>
          <w:rFonts w:ascii="Times New Roman" w:hAnsi="Times New Roman" w:cs="Times New Roman"/>
          <w:sz w:val="24"/>
          <w:szCs w:val="24"/>
        </w:rPr>
        <w:t>ing</w:t>
      </w:r>
      <w:r w:rsidR="00014C78" w:rsidRPr="00166346">
        <w:rPr>
          <w:rFonts w:ascii="Times New Roman" w:hAnsi="Times New Roman" w:cs="Times New Roman"/>
          <w:sz w:val="24"/>
          <w:szCs w:val="24"/>
        </w:rPr>
        <w:t xml:space="preserve"> with Indian investment advisory startup </w:t>
      </w:r>
      <w:proofErr w:type="spellStart"/>
      <w:r w:rsidR="00014C78" w:rsidRPr="00166346">
        <w:rPr>
          <w:rFonts w:ascii="Times New Roman" w:hAnsi="Times New Roman" w:cs="Times New Roman"/>
          <w:sz w:val="24"/>
          <w:szCs w:val="24"/>
        </w:rPr>
        <w:t>Kuvera</w:t>
      </w:r>
      <w:proofErr w:type="spellEnd"/>
      <w:r w:rsidR="00014C78" w:rsidRPr="00166346">
        <w:rPr>
          <w:rFonts w:ascii="Times New Roman" w:hAnsi="Times New Roman" w:cs="Times New Roman"/>
          <w:sz w:val="24"/>
          <w:szCs w:val="24"/>
        </w:rPr>
        <w:t xml:space="preserve"> to provide wealth management services to 50 million customers in India. This offering comes off the he</w:t>
      </w:r>
      <w:r w:rsidR="0014705F">
        <w:rPr>
          <w:rFonts w:ascii="Times New Roman" w:hAnsi="Times New Roman" w:cs="Times New Roman"/>
          <w:sz w:val="24"/>
          <w:szCs w:val="24"/>
        </w:rPr>
        <w:t>e</w:t>
      </w:r>
      <w:r w:rsidR="00014C78" w:rsidRPr="00166346">
        <w:rPr>
          <w:rFonts w:ascii="Times New Roman" w:hAnsi="Times New Roman" w:cs="Times New Roman"/>
          <w:sz w:val="24"/>
          <w:szCs w:val="24"/>
        </w:rPr>
        <w:t xml:space="preserve">ls of as similar offering by Google which </w:t>
      </w:r>
      <w:r w:rsidR="00056062" w:rsidRPr="00166346">
        <w:rPr>
          <w:rFonts w:ascii="Times New Roman" w:hAnsi="Times New Roman" w:cs="Times New Roman"/>
          <w:sz w:val="24"/>
          <w:szCs w:val="24"/>
        </w:rPr>
        <w:t xml:space="preserve">intends </w:t>
      </w:r>
      <w:r w:rsidR="00014C78" w:rsidRPr="00166346">
        <w:rPr>
          <w:rFonts w:ascii="Times New Roman" w:hAnsi="Times New Roman" w:cs="Times New Roman"/>
          <w:sz w:val="24"/>
          <w:szCs w:val="24"/>
        </w:rPr>
        <w:t xml:space="preserve">to </w:t>
      </w:r>
      <w:r w:rsidR="009C107A">
        <w:rPr>
          <w:rFonts w:ascii="Times New Roman" w:hAnsi="Times New Roman" w:cs="Times New Roman"/>
          <w:sz w:val="24"/>
          <w:szCs w:val="24"/>
        </w:rPr>
        <w:t>provide</w:t>
      </w:r>
      <w:r w:rsidR="00014C78" w:rsidRPr="00166346">
        <w:rPr>
          <w:rFonts w:ascii="Times New Roman" w:hAnsi="Times New Roman" w:cs="Times New Roman"/>
          <w:sz w:val="24"/>
          <w:szCs w:val="24"/>
        </w:rPr>
        <w:t xml:space="preserve"> fixed deposits to Indian clients.</w:t>
      </w:r>
      <w:r w:rsidR="00056062" w:rsidRPr="00166346">
        <w:rPr>
          <w:rFonts w:ascii="Times New Roman" w:hAnsi="Times New Roman" w:cs="Times New Roman"/>
          <w:sz w:val="24"/>
          <w:szCs w:val="24"/>
        </w:rPr>
        <w:t xml:space="preserve"> Success in India could change the landscape of the current financial sector across the globe. </w:t>
      </w:r>
      <w:r w:rsidR="00B45EE7" w:rsidRPr="00056062">
        <w:rPr>
          <w:rFonts w:ascii="Times New Roman" w:hAnsi="Times New Roman" w:cs="Times New Roman"/>
          <w:sz w:val="24"/>
          <w:szCs w:val="24"/>
        </w:rPr>
        <w:fldChar w:fldCharType="begin"/>
      </w:r>
      <w:r w:rsidR="00B45EE7" w:rsidRPr="00166346">
        <w:rPr>
          <w:rFonts w:ascii="Times New Roman" w:hAnsi="Times New Roman" w:cs="Times New Roman"/>
          <w:sz w:val="24"/>
          <w:szCs w:val="24"/>
        </w:rPr>
        <w:instrText xml:space="preserve"> HYPERLINK "https://timesofindia.indiatimes.com/business/india-business/in-a-first-amazon-to-offer-wealth-mgmt-service/articleshow/86021784.cms?&amp;utm_source=newsletter&amp;utm_medium=email&amp;utm_campaign=newsletter&amp;utm_term=null" </w:instrText>
      </w:r>
      <w:r w:rsidR="00B45EE7" w:rsidRPr="00056062">
        <w:rPr>
          <w:rFonts w:ascii="Times New Roman" w:hAnsi="Times New Roman" w:cs="Times New Roman"/>
          <w:sz w:val="24"/>
          <w:szCs w:val="24"/>
        </w:rPr>
        <w:fldChar w:fldCharType="separate"/>
      </w:r>
      <w:r w:rsidR="00B45EE7" w:rsidRPr="00166346">
        <w:rPr>
          <w:rStyle w:val="Hyperlink"/>
          <w:rFonts w:ascii="Times New Roman" w:hAnsi="Times New Roman" w:cs="Times New Roman"/>
          <w:sz w:val="24"/>
          <w:szCs w:val="24"/>
        </w:rPr>
        <w:t>Source</w:t>
      </w:r>
    </w:p>
    <w:p w14:paraId="3B2EE438" w14:textId="77777777" w:rsidR="005005D2" w:rsidRPr="005005D2" w:rsidRDefault="00B45EE7" w:rsidP="005005D2">
      <w:pPr>
        <w:jc w:val="both"/>
        <w:rPr>
          <w:sz w:val="2"/>
          <w:szCs w:val="2"/>
        </w:rPr>
      </w:pPr>
      <w:r w:rsidRPr="00056062">
        <w:fldChar w:fldCharType="end"/>
      </w:r>
    </w:p>
    <w:p w14:paraId="73A8E5C1" w14:textId="046F4175" w:rsidR="006274D6" w:rsidRPr="00166346" w:rsidRDefault="003E3672" w:rsidP="005005D2">
      <w:pPr>
        <w:jc w:val="both"/>
        <w:rPr>
          <w:rFonts w:ascii="Times New Roman" w:hAnsi="Times New Roman" w:cs="Times New Roman"/>
          <w:sz w:val="24"/>
          <w:szCs w:val="24"/>
        </w:rPr>
      </w:pPr>
      <w:r w:rsidRPr="00166346">
        <w:rPr>
          <w:rFonts w:ascii="Times New Roman" w:hAnsi="Times New Roman" w:cs="Times New Roman"/>
          <w:b/>
          <w:bCs/>
          <w:sz w:val="24"/>
          <w:szCs w:val="24"/>
        </w:rPr>
        <w:t>Wells Fargo Fined $250 Million for Problems in Its Mortgage Business</w:t>
      </w:r>
      <w:r w:rsidR="00FA7CD2" w:rsidRPr="00166346">
        <w:rPr>
          <w:rFonts w:ascii="Times New Roman" w:hAnsi="Times New Roman" w:cs="Times New Roman"/>
          <w:b/>
          <w:bCs/>
          <w:sz w:val="24"/>
          <w:szCs w:val="24"/>
        </w:rPr>
        <w:t>:</w:t>
      </w:r>
      <w:r w:rsidR="00166346">
        <w:rPr>
          <w:rFonts w:ascii="Times New Roman" w:hAnsi="Times New Roman" w:cs="Times New Roman"/>
          <w:b/>
          <w:bCs/>
          <w:sz w:val="24"/>
          <w:szCs w:val="24"/>
        </w:rPr>
        <w:t xml:space="preserve"> </w:t>
      </w:r>
      <w:r w:rsidR="00FA7CD2" w:rsidRPr="00166346">
        <w:rPr>
          <w:rFonts w:ascii="Times New Roman" w:hAnsi="Times New Roman" w:cs="Times New Roman"/>
          <w:sz w:val="24"/>
          <w:szCs w:val="24"/>
        </w:rPr>
        <w:t>The OCC fined WFC</w:t>
      </w:r>
      <w:r w:rsidR="000106CC" w:rsidRPr="00166346">
        <w:rPr>
          <w:rFonts w:ascii="Times New Roman" w:hAnsi="Times New Roman" w:cs="Times New Roman"/>
          <w:sz w:val="24"/>
          <w:szCs w:val="24"/>
        </w:rPr>
        <w:t xml:space="preserve"> $250M for </w:t>
      </w:r>
      <w:r w:rsidR="00A032E6" w:rsidRPr="00166346">
        <w:rPr>
          <w:rFonts w:ascii="Times New Roman" w:hAnsi="Times New Roman" w:cs="Times New Roman"/>
          <w:sz w:val="24"/>
          <w:szCs w:val="24"/>
        </w:rPr>
        <w:t xml:space="preserve">its failure to make substantial progress toward addressing issues </w:t>
      </w:r>
      <w:r w:rsidR="00D0040C" w:rsidRPr="00166346">
        <w:rPr>
          <w:rFonts w:ascii="Times New Roman" w:hAnsi="Times New Roman" w:cs="Times New Roman"/>
          <w:sz w:val="24"/>
          <w:szCs w:val="24"/>
        </w:rPr>
        <w:t>regarding its mortgages business.</w:t>
      </w:r>
      <w:r w:rsidR="00A032E6" w:rsidRPr="00166346">
        <w:rPr>
          <w:rFonts w:ascii="Times New Roman" w:hAnsi="Times New Roman" w:cs="Times New Roman"/>
          <w:sz w:val="24"/>
          <w:szCs w:val="24"/>
        </w:rPr>
        <w:t xml:space="preserve"> </w:t>
      </w:r>
      <w:r w:rsidR="00D0040C" w:rsidRPr="00166346">
        <w:rPr>
          <w:rFonts w:ascii="Times New Roman" w:hAnsi="Times New Roman" w:cs="Times New Roman"/>
          <w:sz w:val="24"/>
          <w:szCs w:val="24"/>
        </w:rPr>
        <w:t>In 2018,</w:t>
      </w:r>
      <w:r w:rsidR="00A032E6" w:rsidRPr="00166346">
        <w:rPr>
          <w:rFonts w:ascii="Times New Roman" w:hAnsi="Times New Roman" w:cs="Times New Roman"/>
          <w:sz w:val="24"/>
          <w:szCs w:val="24"/>
        </w:rPr>
        <w:t xml:space="preserve"> </w:t>
      </w:r>
      <w:r w:rsidR="00D0040C" w:rsidRPr="00166346">
        <w:rPr>
          <w:rFonts w:ascii="Times New Roman" w:hAnsi="Times New Roman" w:cs="Times New Roman"/>
          <w:sz w:val="24"/>
          <w:szCs w:val="24"/>
        </w:rPr>
        <w:t xml:space="preserve">the </w:t>
      </w:r>
      <w:r w:rsidR="00A032E6" w:rsidRPr="00166346">
        <w:rPr>
          <w:rFonts w:ascii="Times New Roman" w:hAnsi="Times New Roman" w:cs="Times New Roman"/>
          <w:sz w:val="24"/>
          <w:szCs w:val="24"/>
        </w:rPr>
        <w:t xml:space="preserve">OCC </w:t>
      </w:r>
      <w:r w:rsidR="00D0040C" w:rsidRPr="00166346">
        <w:rPr>
          <w:rFonts w:ascii="Times New Roman" w:hAnsi="Times New Roman" w:cs="Times New Roman"/>
          <w:sz w:val="24"/>
          <w:szCs w:val="24"/>
        </w:rPr>
        <w:t xml:space="preserve">mandated that </w:t>
      </w:r>
      <w:r w:rsidR="00CC62D8" w:rsidRPr="00166346">
        <w:rPr>
          <w:rFonts w:ascii="Times New Roman" w:hAnsi="Times New Roman" w:cs="Times New Roman"/>
          <w:sz w:val="24"/>
          <w:szCs w:val="24"/>
        </w:rPr>
        <w:t>Wells Fargo develop</w:t>
      </w:r>
      <w:r w:rsidR="00D0040C" w:rsidRPr="00166346">
        <w:rPr>
          <w:rFonts w:ascii="Times New Roman" w:hAnsi="Times New Roman" w:cs="Times New Roman"/>
          <w:sz w:val="24"/>
          <w:szCs w:val="24"/>
        </w:rPr>
        <w:t xml:space="preserve"> l</w:t>
      </w:r>
      <w:r w:rsidR="00CC62D8" w:rsidRPr="00166346">
        <w:rPr>
          <w:rFonts w:ascii="Times New Roman" w:hAnsi="Times New Roman" w:cs="Times New Roman"/>
          <w:sz w:val="24"/>
          <w:szCs w:val="24"/>
        </w:rPr>
        <w:t xml:space="preserve">oan modification programs to help prevent customers from losing </w:t>
      </w:r>
      <w:r w:rsidR="00D0040C" w:rsidRPr="00166346">
        <w:rPr>
          <w:rFonts w:ascii="Times New Roman" w:hAnsi="Times New Roman" w:cs="Times New Roman"/>
          <w:sz w:val="24"/>
          <w:szCs w:val="24"/>
        </w:rPr>
        <w:t>their</w:t>
      </w:r>
      <w:r w:rsidR="00CC62D8" w:rsidRPr="00166346">
        <w:rPr>
          <w:rFonts w:ascii="Times New Roman" w:hAnsi="Times New Roman" w:cs="Times New Roman"/>
          <w:sz w:val="24"/>
          <w:szCs w:val="24"/>
        </w:rPr>
        <w:t xml:space="preserve"> homes</w:t>
      </w:r>
      <w:r w:rsidR="00D0040C" w:rsidRPr="00166346">
        <w:rPr>
          <w:rFonts w:ascii="Times New Roman" w:hAnsi="Times New Roman" w:cs="Times New Roman"/>
          <w:sz w:val="24"/>
          <w:szCs w:val="24"/>
        </w:rPr>
        <w:t xml:space="preserve"> which WFC has failed to </w:t>
      </w:r>
      <w:r w:rsidR="003665BF" w:rsidRPr="00166346">
        <w:rPr>
          <w:rFonts w:ascii="Times New Roman" w:hAnsi="Times New Roman" w:cs="Times New Roman"/>
          <w:sz w:val="24"/>
          <w:szCs w:val="24"/>
        </w:rPr>
        <w:t xml:space="preserve">sufficiently </w:t>
      </w:r>
      <w:r w:rsidR="00D0040C" w:rsidRPr="00166346">
        <w:rPr>
          <w:rFonts w:ascii="Times New Roman" w:hAnsi="Times New Roman" w:cs="Times New Roman"/>
          <w:sz w:val="24"/>
          <w:szCs w:val="24"/>
        </w:rPr>
        <w:t>implement.</w:t>
      </w:r>
      <w:r w:rsidR="003665BF" w:rsidRPr="00166346">
        <w:rPr>
          <w:rFonts w:ascii="Times New Roman" w:hAnsi="Times New Roman" w:cs="Times New Roman"/>
          <w:sz w:val="24"/>
          <w:szCs w:val="24"/>
        </w:rPr>
        <w:t xml:space="preserve"> </w:t>
      </w:r>
      <w:r w:rsidR="00D0040C" w:rsidRPr="00166346">
        <w:rPr>
          <w:rFonts w:ascii="Times New Roman" w:hAnsi="Times New Roman" w:cs="Times New Roman"/>
          <w:sz w:val="24"/>
          <w:szCs w:val="24"/>
        </w:rPr>
        <w:t>In addition to the fine and negative press,</w:t>
      </w:r>
      <w:r w:rsidR="00CC62D8" w:rsidRPr="00166346">
        <w:rPr>
          <w:rFonts w:ascii="Times New Roman" w:hAnsi="Times New Roman" w:cs="Times New Roman"/>
          <w:sz w:val="24"/>
          <w:szCs w:val="24"/>
        </w:rPr>
        <w:t xml:space="preserve"> </w:t>
      </w:r>
      <w:r w:rsidR="00D0040C" w:rsidRPr="00166346">
        <w:rPr>
          <w:rFonts w:ascii="Times New Roman" w:hAnsi="Times New Roman" w:cs="Times New Roman"/>
          <w:sz w:val="24"/>
          <w:szCs w:val="24"/>
        </w:rPr>
        <w:t>the OCC also barred the bank from “acquiring mortgage servicing from other lenders”.</w:t>
      </w:r>
      <w:r w:rsidR="003665BF" w:rsidRPr="00166346">
        <w:rPr>
          <w:rFonts w:ascii="Times New Roman" w:hAnsi="Times New Roman" w:cs="Times New Roman"/>
          <w:sz w:val="24"/>
          <w:szCs w:val="24"/>
        </w:rPr>
        <w:t xml:space="preserve"> This punishment may open the door for other institutions to increase mortgage market share. </w:t>
      </w:r>
      <w:hyperlink r:id="rId9" w:history="1">
        <w:r w:rsidR="00B45EE7" w:rsidRPr="00166346">
          <w:rPr>
            <w:rStyle w:val="Hyperlink"/>
            <w:rFonts w:ascii="Times New Roman" w:hAnsi="Times New Roman" w:cs="Times New Roman"/>
            <w:sz w:val="24"/>
            <w:szCs w:val="24"/>
          </w:rPr>
          <w:t>Source</w:t>
        </w:r>
      </w:hyperlink>
    </w:p>
    <w:sectPr w:rsidR="006274D6" w:rsidRPr="00166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8507F"/>
    <w:multiLevelType w:val="hybridMultilevel"/>
    <w:tmpl w:val="35405974"/>
    <w:lvl w:ilvl="0" w:tplc="1C4A891A">
      <w:start w:val="310"/>
      <w:numFmt w:val="bullet"/>
      <w:lvlText w:val="-"/>
      <w:lvlJc w:val="left"/>
      <w:pPr>
        <w:ind w:left="720" w:hanging="360"/>
      </w:pPr>
      <w:rPr>
        <w:rFonts w:ascii="Calibri" w:eastAsiaTheme="minorHAnsi" w:hAnsi="Calibri" w:cs="Calibri" w:hint="default"/>
        <w:b/>
        <w:i/>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73347"/>
    <w:multiLevelType w:val="hybridMultilevel"/>
    <w:tmpl w:val="4B8491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NjawNDEwMzc2tLRU0lEKTi0uzszPAykwrAUAwP20tywAAAA="/>
  </w:docVars>
  <w:rsids>
    <w:rsidRoot w:val="00774A48"/>
    <w:rsid w:val="00001AA3"/>
    <w:rsid w:val="000106CC"/>
    <w:rsid w:val="00014C78"/>
    <w:rsid w:val="00042487"/>
    <w:rsid w:val="00056062"/>
    <w:rsid w:val="00083C5F"/>
    <w:rsid w:val="00091BA7"/>
    <w:rsid w:val="000A60B2"/>
    <w:rsid w:val="000F0530"/>
    <w:rsid w:val="00110CE5"/>
    <w:rsid w:val="00114A40"/>
    <w:rsid w:val="00132C67"/>
    <w:rsid w:val="001355A9"/>
    <w:rsid w:val="00140164"/>
    <w:rsid w:val="0014705F"/>
    <w:rsid w:val="00166346"/>
    <w:rsid w:val="00193E77"/>
    <w:rsid w:val="00197625"/>
    <w:rsid w:val="001A3102"/>
    <w:rsid w:val="001D28DD"/>
    <w:rsid w:val="001D7E4C"/>
    <w:rsid w:val="001E3383"/>
    <w:rsid w:val="001E725D"/>
    <w:rsid w:val="00222914"/>
    <w:rsid w:val="00230225"/>
    <w:rsid w:val="002368AF"/>
    <w:rsid w:val="00242567"/>
    <w:rsid w:val="002644A1"/>
    <w:rsid w:val="00320AA6"/>
    <w:rsid w:val="003665BF"/>
    <w:rsid w:val="0039705C"/>
    <w:rsid w:val="003C3BF5"/>
    <w:rsid w:val="003C7561"/>
    <w:rsid w:val="003C7784"/>
    <w:rsid w:val="003D05F1"/>
    <w:rsid w:val="003E3672"/>
    <w:rsid w:val="004340F0"/>
    <w:rsid w:val="00445897"/>
    <w:rsid w:val="0044613A"/>
    <w:rsid w:val="0045102D"/>
    <w:rsid w:val="0045254C"/>
    <w:rsid w:val="004722E6"/>
    <w:rsid w:val="00476373"/>
    <w:rsid w:val="00480A72"/>
    <w:rsid w:val="004911E7"/>
    <w:rsid w:val="00492E5B"/>
    <w:rsid w:val="004A3AB1"/>
    <w:rsid w:val="004B1550"/>
    <w:rsid w:val="004C01E3"/>
    <w:rsid w:val="004C7C6D"/>
    <w:rsid w:val="004D3A53"/>
    <w:rsid w:val="005005D2"/>
    <w:rsid w:val="005048B6"/>
    <w:rsid w:val="00512C49"/>
    <w:rsid w:val="0054237D"/>
    <w:rsid w:val="00543ECE"/>
    <w:rsid w:val="00551E38"/>
    <w:rsid w:val="00554395"/>
    <w:rsid w:val="005568DA"/>
    <w:rsid w:val="005A6DFB"/>
    <w:rsid w:val="005A7916"/>
    <w:rsid w:val="005B1516"/>
    <w:rsid w:val="005C409D"/>
    <w:rsid w:val="005C4E1C"/>
    <w:rsid w:val="005D02B2"/>
    <w:rsid w:val="005F3D32"/>
    <w:rsid w:val="00613F43"/>
    <w:rsid w:val="006274D6"/>
    <w:rsid w:val="00633505"/>
    <w:rsid w:val="00637001"/>
    <w:rsid w:val="00647FB5"/>
    <w:rsid w:val="00664393"/>
    <w:rsid w:val="006732EC"/>
    <w:rsid w:val="00673843"/>
    <w:rsid w:val="0069158F"/>
    <w:rsid w:val="006A63C8"/>
    <w:rsid w:val="006A74F8"/>
    <w:rsid w:val="006E2C8F"/>
    <w:rsid w:val="006E7E26"/>
    <w:rsid w:val="006F28AE"/>
    <w:rsid w:val="00704510"/>
    <w:rsid w:val="0070680A"/>
    <w:rsid w:val="00711A26"/>
    <w:rsid w:val="007406BF"/>
    <w:rsid w:val="0076410F"/>
    <w:rsid w:val="00774A48"/>
    <w:rsid w:val="007936A1"/>
    <w:rsid w:val="007959BE"/>
    <w:rsid w:val="007A5BD4"/>
    <w:rsid w:val="007C33B2"/>
    <w:rsid w:val="007D3201"/>
    <w:rsid w:val="007E7567"/>
    <w:rsid w:val="007F7813"/>
    <w:rsid w:val="00805A1C"/>
    <w:rsid w:val="0081620E"/>
    <w:rsid w:val="00830472"/>
    <w:rsid w:val="00832895"/>
    <w:rsid w:val="00845687"/>
    <w:rsid w:val="00851854"/>
    <w:rsid w:val="00867D65"/>
    <w:rsid w:val="0088104D"/>
    <w:rsid w:val="00894A6D"/>
    <w:rsid w:val="008B2D3D"/>
    <w:rsid w:val="008C17E8"/>
    <w:rsid w:val="0091246E"/>
    <w:rsid w:val="0092568D"/>
    <w:rsid w:val="00932B70"/>
    <w:rsid w:val="00935966"/>
    <w:rsid w:val="00940449"/>
    <w:rsid w:val="00964988"/>
    <w:rsid w:val="00965C0A"/>
    <w:rsid w:val="0099691E"/>
    <w:rsid w:val="009C107A"/>
    <w:rsid w:val="009C5FC2"/>
    <w:rsid w:val="009C7E98"/>
    <w:rsid w:val="009D50A8"/>
    <w:rsid w:val="009E7B25"/>
    <w:rsid w:val="009F52B5"/>
    <w:rsid w:val="00A00C1E"/>
    <w:rsid w:val="00A032E6"/>
    <w:rsid w:val="00A10E3D"/>
    <w:rsid w:val="00A24F3F"/>
    <w:rsid w:val="00A37A21"/>
    <w:rsid w:val="00A46717"/>
    <w:rsid w:val="00A5470E"/>
    <w:rsid w:val="00A7063E"/>
    <w:rsid w:val="00A732A4"/>
    <w:rsid w:val="00A748A3"/>
    <w:rsid w:val="00A75E8F"/>
    <w:rsid w:val="00AA0D45"/>
    <w:rsid w:val="00AA5C81"/>
    <w:rsid w:val="00AB43DD"/>
    <w:rsid w:val="00AD5756"/>
    <w:rsid w:val="00AF26BA"/>
    <w:rsid w:val="00B00F5B"/>
    <w:rsid w:val="00B02E98"/>
    <w:rsid w:val="00B15AFC"/>
    <w:rsid w:val="00B21C71"/>
    <w:rsid w:val="00B30435"/>
    <w:rsid w:val="00B45EE7"/>
    <w:rsid w:val="00B64C07"/>
    <w:rsid w:val="00B81862"/>
    <w:rsid w:val="00B81C93"/>
    <w:rsid w:val="00B85274"/>
    <w:rsid w:val="00BA11CE"/>
    <w:rsid w:val="00BB7FE8"/>
    <w:rsid w:val="00BC7DC7"/>
    <w:rsid w:val="00BE0D18"/>
    <w:rsid w:val="00C045A7"/>
    <w:rsid w:val="00C153B8"/>
    <w:rsid w:val="00C1730E"/>
    <w:rsid w:val="00C22A2F"/>
    <w:rsid w:val="00C24D8A"/>
    <w:rsid w:val="00C31252"/>
    <w:rsid w:val="00C54784"/>
    <w:rsid w:val="00C60A63"/>
    <w:rsid w:val="00C96B68"/>
    <w:rsid w:val="00CA3EDF"/>
    <w:rsid w:val="00CA7318"/>
    <w:rsid w:val="00CB1778"/>
    <w:rsid w:val="00CC62D8"/>
    <w:rsid w:val="00D0040C"/>
    <w:rsid w:val="00D3216E"/>
    <w:rsid w:val="00D4054F"/>
    <w:rsid w:val="00D53549"/>
    <w:rsid w:val="00D70552"/>
    <w:rsid w:val="00D87AC9"/>
    <w:rsid w:val="00DB2389"/>
    <w:rsid w:val="00DB2F96"/>
    <w:rsid w:val="00DC4A44"/>
    <w:rsid w:val="00DD2E86"/>
    <w:rsid w:val="00DF2494"/>
    <w:rsid w:val="00E216B3"/>
    <w:rsid w:val="00E21AD1"/>
    <w:rsid w:val="00E63CC2"/>
    <w:rsid w:val="00E858A5"/>
    <w:rsid w:val="00E95B5D"/>
    <w:rsid w:val="00E962C8"/>
    <w:rsid w:val="00EA3798"/>
    <w:rsid w:val="00EA71EE"/>
    <w:rsid w:val="00EC2F93"/>
    <w:rsid w:val="00ED1C04"/>
    <w:rsid w:val="00ED7DEF"/>
    <w:rsid w:val="00EF2FD4"/>
    <w:rsid w:val="00EF56D0"/>
    <w:rsid w:val="00F23203"/>
    <w:rsid w:val="00F25EA3"/>
    <w:rsid w:val="00F5256C"/>
    <w:rsid w:val="00F62718"/>
    <w:rsid w:val="00F77F0F"/>
    <w:rsid w:val="00F93E30"/>
    <w:rsid w:val="00F94D1C"/>
    <w:rsid w:val="00FA7CD2"/>
    <w:rsid w:val="00FB2773"/>
    <w:rsid w:val="00FD4FA9"/>
    <w:rsid w:val="00FE353F"/>
    <w:rsid w:val="00FE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F611"/>
  <w15:chartTrackingRefBased/>
  <w15:docId w15:val="{41EC61CC-9591-4BE8-8062-24C8FCD5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A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4A48"/>
    <w:pPr>
      <w:ind w:left="720"/>
      <w:contextualSpacing/>
    </w:pPr>
  </w:style>
  <w:style w:type="character" w:styleId="Hyperlink">
    <w:name w:val="Hyperlink"/>
    <w:basedOn w:val="DefaultParagraphFont"/>
    <w:uiPriority w:val="99"/>
    <w:unhideWhenUsed/>
    <w:rsid w:val="00C31252"/>
    <w:rPr>
      <w:color w:val="0563C1" w:themeColor="hyperlink"/>
      <w:u w:val="single"/>
    </w:rPr>
  </w:style>
  <w:style w:type="character" w:styleId="UnresolvedMention">
    <w:name w:val="Unresolved Mention"/>
    <w:basedOn w:val="DefaultParagraphFont"/>
    <w:uiPriority w:val="99"/>
    <w:semiHidden/>
    <w:unhideWhenUsed/>
    <w:rsid w:val="00C31252"/>
    <w:rPr>
      <w:color w:val="605E5C"/>
      <w:shd w:val="clear" w:color="auto" w:fill="E1DFDD"/>
    </w:rPr>
  </w:style>
  <w:style w:type="character" w:styleId="FollowedHyperlink">
    <w:name w:val="FollowedHyperlink"/>
    <w:basedOn w:val="DefaultParagraphFont"/>
    <w:uiPriority w:val="99"/>
    <w:semiHidden/>
    <w:unhideWhenUsed/>
    <w:rsid w:val="00F23203"/>
    <w:rPr>
      <w:color w:val="954F72" w:themeColor="followedHyperlink"/>
      <w:u w:val="single"/>
    </w:rPr>
  </w:style>
  <w:style w:type="character" w:styleId="CommentReference">
    <w:name w:val="annotation reference"/>
    <w:basedOn w:val="DefaultParagraphFont"/>
    <w:uiPriority w:val="99"/>
    <w:semiHidden/>
    <w:unhideWhenUsed/>
    <w:rsid w:val="001E725D"/>
    <w:rPr>
      <w:sz w:val="16"/>
      <w:szCs w:val="16"/>
    </w:rPr>
  </w:style>
  <w:style w:type="paragraph" w:styleId="CommentText">
    <w:name w:val="annotation text"/>
    <w:basedOn w:val="Normal"/>
    <w:link w:val="CommentTextChar"/>
    <w:uiPriority w:val="99"/>
    <w:semiHidden/>
    <w:unhideWhenUsed/>
    <w:rsid w:val="001E725D"/>
    <w:pPr>
      <w:spacing w:line="240" w:lineRule="auto"/>
    </w:pPr>
    <w:rPr>
      <w:sz w:val="20"/>
      <w:szCs w:val="20"/>
    </w:rPr>
  </w:style>
  <w:style w:type="character" w:customStyle="1" w:styleId="CommentTextChar">
    <w:name w:val="Comment Text Char"/>
    <w:basedOn w:val="DefaultParagraphFont"/>
    <w:link w:val="CommentText"/>
    <w:uiPriority w:val="99"/>
    <w:semiHidden/>
    <w:rsid w:val="001E725D"/>
    <w:rPr>
      <w:sz w:val="20"/>
      <w:szCs w:val="20"/>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5264">
      <w:bodyDiv w:val="1"/>
      <w:marLeft w:val="0"/>
      <w:marRight w:val="0"/>
      <w:marTop w:val="0"/>
      <w:marBottom w:val="0"/>
      <w:divBdr>
        <w:top w:val="none" w:sz="0" w:space="0" w:color="auto"/>
        <w:left w:val="none" w:sz="0" w:space="0" w:color="auto"/>
        <w:bottom w:val="none" w:sz="0" w:space="0" w:color="auto"/>
        <w:right w:val="none" w:sz="0" w:space="0" w:color="auto"/>
      </w:divBdr>
    </w:div>
    <w:div w:id="472252775">
      <w:bodyDiv w:val="1"/>
      <w:marLeft w:val="0"/>
      <w:marRight w:val="0"/>
      <w:marTop w:val="0"/>
      <w:marBottom w:val="0"/>
      <w:divBdr>
        <w:top w:val="none" w:sz="0" w:space="0" w:color="auto"/>
        <w:left w:val="none" w:sz="0" w:space="0" w:color="auto"/>
        <w:bottom w:val="none" w:sz="0" w:space="0" w:color="auto"/>
        <w:right w:val="none" w:sz="0" w:space="0" w:color="auto"/>
      </w:divBdr>
    </w:div>
    <w:div w:id="769393114">
      <w:bodyDiv w:val="1"/>
      <w:marLeft w:val="0"/>
      <w:marRight w:val="0"/>
      <w:marTop w:val="0"/>
      <w:marBottom w:val="0"/>
      <w:divBdr>
        <w:top w:val="none" w:sz="0" w:space="0" w:color="auto"/>
        <w:left w:val="none" w:sz="0" w:space="0" w:color="auto"/>
        <w:bottom w:val="none" w:sz="0" w:space="0" w:color="auto"/>
        <w:right w:val="none" w:sz="0" w:space="0" w:color="auto"/>
      </w:divBdr>
    </w:div>
    <w:div w:id="931474963">
      <w:bodyDiv w:val="1"/>
      <w:marLeft w:val="0"/>
      <w:marRight w:val="0"/>
      <w:marTop w:val="0"/>
      <w:marBottom w:val="0"/>
      <w:divBdr>
        <w:top w:val="none" w:sz="0" w:space="0" w:color="auto"/>
        <w:left w:val="none" w:sz="0" w:space="0" w:color="auto"/>
        <w:bottom w:val="none" w:sz="0" w:space="0" w:color="auto"/>
        <w:right w:val="none" w:sz="0" w:space="0" w:color="auto"/>
      </w:divBdr>
    </w:div>
    <w:div w:id="1241910678">
      <w:bodyDiv w:val="1"/>
      <w:marLeft w:val="0"/>
      <w:marRight w:val="0"/>
      <w:marTop w:val="0"/>
      <w:marBottom w:val="0"/>
      <w:divBdr>
        <w:top w:val="none" w:sz="0" w:space="0" w:color="auto"/>
        <w:left w:val="none" w:sz="0" w:space="0" w:color="auto"/>
        <w:bottom w:val="none" w:sz="0" w:space="0" w:color="auto"/>
        <w:right w:val="none" w:sz="0" w:space="0" w:color="auto"/>
      </w:divBdr>
      <w:divsChild>
        <w:div w:id="73478433">
          <w:marLeft w:val="-100"/>
          <w:marRight w:val="0"/>
          <w:marTop w:val="0"/>
          <w:marBottom w:val="0"/>
          <w:divBdr>
            <w:top w:val="none" w:sz="0" w:space="0" w:color="auto"/>
            <w:left w:val="none" w:sz="0" w:space="0" w:color="auto"/>
            <w:bottom w:val="none" w:sz="0" w:space="0" w:color="auto"/>
            <w:right w:val="none" w:sz="0" w:space="0" w:color="auto"/>
          </w:divBdr>
        </w:div>
      </w:divsChild>
    </w:div>
    <w:div w:id="1530341435">
      <w:bodyDiv w:val="1"/>
      <w:marLeft w:val="0"/>
      <w:marRight w:val="0"/>
      <w:marTop w:val="0"/>
      <w:marBottom w:val="0"/>
      <w:divBdr>
        <w:top w:val="none" w:sz="0" w:space="0" w:color="auto"/>
        <w:left w:val="none" w:sz="0" w:space="0" w:color="auto"/>
        <w:bottom w:val="none" w:sz="0" w:space="0" w:color="auto"/>
        <w:right w:val="none" w:sz="0" w:space="0" w:color="auto"/>
      </w:divBdr>
      <w:divsChild>
        <w:div w:id="936592911">
          <w:marLeft w:val="0"/>
          <w:marRight w:val="0"/>
          <w:marTop w:val="0"/>
          <w:marBottom w:val="0"/>
          <w:divBdr>
            <w:top w:val="none" w:sz="0" w:space="0" w:color="auto"/>
            <w:left w:val="none" w:sz="0" w:space="0" w:color="auto"/>
            <w:bottom w:val="none" w:sz="0" w:space="0" w:color="auto"/>
            <w:right w:val="none" w:sz="0" w:space="0" w:color="auto"/>
          </w:divBdr>
        </w:div>
      </w:divsChild>
    </w:div>
    <w:div w:id="15724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21-09-13/goldman-sachs-is-said-to-lose-top-southeast-asia-banker-to-citi" TargetMode="External"/><Relationship Id="rId3" Type="http://schemas.openxmlformats.org/officeDocument/2006/relationships/styles" Target="styles.xml"/><Relationship Id="rId7" Type="http://schemas.openxmlformats.org/officeDocument/2006/relationships/hyperlink" Target="https://thefly.com/landingPageNews.php?id=3369583&amp;headline=HOOD;VIRT-Robinhood-Virtu-up-after-SEC-Chair-remarks-dont-mention-payment-for-order-flow16311994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stercard.com/news/press/2021/september/mastercard-acquires-ciphertrace-to-enhance-crypto-capabilit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sj.com/articles/wells-fargo-fined-250-million-for-problems-in-its-mortgage-business-11631223671?mod=lead_feature_below_a_pos1&amp;utm_source=newsletter&amp;utm_medium=email&amp;utm_campaign=newsletter&amp;utm_term=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D5A1E35-24C7-4D0B-A9F6-59AE65D7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Zaferiou</dc:creator>
  <cp:keywords/>
  <dc:description/>
  <cp:lastModifiedBy>Nick Zaferiou</cp:lastModifiedBy>
  <cp:revision>2</cp:revision>
  <cp:lastPrinted>2021-04-13T21:33:00Z</cp:lastPrinted>
  <dcterms:created xsi:type="dcterms:W3CDTF">2021-09-14T21:52:00Z</dcterms:created>
  <dcterms:modified xsi:type="dcterms:W3CDTF">2021-09-14T21:52:00Z</dcterms:modified>
</cp:coreProperties>
</file>