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tables for categorical endpoints in total ppl (N=349)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 diagnosed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tables for categorical endpoints after exlcuding NCSU (N=173)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highest cut alt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cirrhosis diagnosed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Abnormal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2024-08-09T13:08:01Z</dcterms:modified>
  <cp:category/>
</cp:coreProperties>
</file>