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W w:w="12240" w:type="dxa"/>
        <w:tblBorders>
          <w:top w:val="nil"/>
          <w:left w:val="nil"/>
          <w:bottom w:val="nil"/>
          <w:right w:val="nil"/>
          <w:insideH w:val="nil"/>
          <w:insideV w:val="nil"/>
        </w:tblBorders>
      </w:tblPr>
      <w:tblGrid>
        <w:gridCol w:w="2340"/>
        <w:gridCol w:w="2340"/>
        <w:gridCol w:w="2340"/>
        <w:gridCol w:w="2340"/>
      </w:tblGrid>
      <w:tr>
        <w:trPr>
          <w:trHeight w:val="15407" w:hRule="atLeast"/>
        </w:trPr>
        <w:tc>
          <w:tcPr>
            <w:tcW w:w="259" w:type="dxa"/>
            <w:shd w:val="clear" w:color="auto" w:fill="D97757"/>
            <w:tcMar>
              <w:top w:w="0" w:type="dxa"/>
              <w:left w:w="0" w:type="dxa"/>
              <w:bottom w:w="0" w:type="dxa"/>
              <w:right w:w="0" w:type="dxa"/>
            </w:tcMar>
            <w:tcBorders>
              <w:top w:val="nil"/>
              <w:left w:val="nil"/>
              <w:bottom w:val="nil"/>
              <w:right w:val="nil"/>
            </w:tcBorders>
          </w:tcPr>
          <w:p/>
        </w:tc>
        <w:tc>
          <w:tcPr>
            <w:tcW w:w="259" w:type="dxa"/>
            <w:shd w:val="clear" w:color="auto" w:fill="1A73E8"/>
            <w:tcMar>
              <w:top w:w="0" w:type="dxa"/>
              <w:left w:w="0" w:type="dxa"/>
              <w:bottom w:w="0" w:type="dxa"/>
              <w:right w:w="0" w:type="dxa"/>
            </w:tcMar>
            <w:tcBorders>
              <w:top w:val="nil"/>
              <w:left w:val="nil"/>
              <w:bottom w:val="nil"/>
              <w:right w:val="nil"/>
            </w:tcBorders>
          </w:tcPr>
          <w:p/>
        </w:tc>
        <w:tc>
          <w:tcPr>
            <w:tcW w:w="432" w:type="dxa"/>
            <w:tcMar>
              <w:top w:w="0" w:type="dxa"/>
              <w:left w:w="0" w:type="dxa"/>
              <w:bottom w:w="0" w:type="dxa"/>
              <w:right w:w="0" w:type="dxa"/>
            </w:tcMar>
            <w:tcBorders>
              <w:top w:val="nil"/>
              <w:left w:val="nil"/>
              <w:bottom w:val="nil"/>
              <w:right w:val="nil"/>
            </w:tcBorders>
          </w:tcPr>
          <w:p/>
        </w:tc>
        <w:tc>
          <w:tcPr>
            <w:tcW w:w="11289" w:type="dxa"/>
            <w:tcMar>
              <w:top w:w="1007" w:type="dxa"/>
              <w:left w:w="576" w:type="dxa"/>
              <w:bottom w:w="720" w:type="dxa"/>
              <w:right w:w="720" w:type="dxa"/>
            </w:tcMar>
            <w:tcBorders>
              <w:top w:val="nil"/>
              <w:left w:val="nil"/>
              <w:bottom w:val="nil"/>
              <w:right w:val="nil"/>
            </w:tcBorders>
          </w:tcPr>
          <w:p>
            <w:pPr>
              <w:spacing w:before="0" w:after="0"/>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763"/>
              <w:gridCol w:w="3763"/>
              <w:gridCol w:w="3763"/>
            </w:tblGrid>
            <w:tr>
              <w:trPr>
                <w:trHeight w:val="460" w:hRule="atLeast"/>
              </w:trPr>
              <w:tc>
                <w:tcPr>
                  <w:tcW w:w="2088" w:type="dxa"/>
                  <w:shd w:val="clear" w:color="auto" w:fill="D97757"/>
                  <w:tcMar>
                    <w:top w:w="57" w:type="dxa"/>
                    <w:left w:w="216" w:type="dxa"/>
                    <w:bottom w:w="57" w:type="dxa"/>
                    <w:right w:w="216" w:type="dxa"/>
                  </w:tcMar>
                  <w:vAlign w:val="center"/>
                  <w:tcBorders>
                    <w:top w:val="nil"/>
                    <w:left w:val="nil"/>
                    <w:bottom w:val="nil"/>
                    <w:right w:val="nil"/>
                  </w:tcBorders>
                </w:tcPr>
                <w:p>
                  <w:pPr>
                    <w:spacing w:before="0" w:after="0"/>
                    <w:jc w:val="center"/>
                  </w:pPr>
                  <w:r/>
                  <w:r>
                    <w:rPr>
                      <w:rFonts w:ascii="Calibri" w:hAnsi="Calibri" w:cs="Calibri" w:eastAsia="Calibri"/>
                      <w:b/>
                      <w:color w:val="FFFFFF"/>
                      <w:sz w:val="20"/>
                      <w:spacing w:val="32"/>
                    </w:rPr>
                    <w:t>ANTHROPIC</w:t>
                  </w:r>
                </w:p>
              </w:tc>
              <w:tc>
                <w:tcPr>
                  <w:tcW w:w="259" w:type="dxa"/>
                  <w:tcMar>
                    <w:top w:w="0" w:type="dxa"/>
                    <w:left w:w="0" w:type="dxa"/>
                    <w:bottom w:w="0" w:type="dxa"/>
                    <w:right w:w="0" w:type="dxa"/>
                  </w:tcMar>
                  <w:tcBorders>
                    <w:top w:val="nil"/>
                    <w:left w:val="nil"/>
                    <w:bottom w:val="nil"/>
                    <w:right w:val="nil"/>
                  </w:tcBorders>
                </w:tcPr>
                <w:p/>
              </w:tc>
              <w:tc>
                <w:tcPr>
                  <w:tcW w:w="2304" w:type="dxa"/>
                  <w:shd w:val="clear" w:color="auto" w:fill="1A73E8"/>
                  <w:tcMar>
                    <w:top w:w="57" w:type="dxa"/>
                    <w:left w:w="216" w:type="dxa"/>
                    <w:bottom w:w="57" w:type="dxa"/>
                    <w:right w:w="216" w:type="dxa"/>
                  </w:tcMar>
                  <w:vAlign w:val="center"/>
                  <w:tcBorders>
                    <w:top w:val="nil"/>
                    <w:left w:val="nil"/>
                    <w:bottom w:val="nil"/>
                    <w:right w:val="nil"/>
                  </w:tcBorders>
                </w:tcPr>
                <w:p>
                  <w:pPr>
                    <w:spacing w:before="0" w:after="0"/>
                    <w:jc w:val="center"/>
                  </w:pPr>
                  <w:r/>
                  <w:r>
                    <w:rPr>
                      <w:rFonts w:ascii="Calibri" w:hAnsi="Calibri" w:cs="Calibri" w:eastAsia="Calibri"/>
                      <w:b/>
                      <w:color w:val="FFFFFF"/>
                      <w:sz w:val="20"/>
                      <w:spacing w:val="32"/>
                    </w:rPr>
                    <w:t>GOOGLE CLOUD</w:t>
                  </w:r>
                </w:p>
              </w:tc>
            </w:tr>
          </w:tbl>
          <w:p/>
          <w:p>
            <w:pPr>
              <w:spacing w:before="800" w:after="0"/>
            </w:pPr>
            <w:r>
              <w:rPr>
                <w:rFonts w:ascii="Calibri" w:hAnsi="Calibri" w:cs="Calibri" w:eastAsia="Calibri"/>
                <w:b/>
                <w:color w:val="1A73E8"/>
                <w:sz w:val="20"/>
                <w:spacing w:val="44"/>
              </w:rPr>
              <w:t>CO-INNOVATION PROPOSAL</w:t>
            </w:r>
          </w:p>
          <w:p>
            <w:pPr>
              <w:spacing w:before="280" w:after="0" w:line="1040" w:lineRule="exact"/>
            </w:pPr>
            <w:r>
              <w:rPr>
                <w:rFonts w:ascii="Calibri" w:hAnsi="Calibri" w:cs="Calibri" w:eastAsia="Calibri"/>
                <w:b/>
                <w:color w:val="141413"/>
                <w:sz w:val="88"/>
              </w:rPr>
              <w:t>Claude Powered Agents</w:t>
            </w:r>
          </w:p>
          <w:p>
            <w:pPr>
              <w:spacing w:before="0" w:after="0" w:line="1040" w:lineRule="exact"/>
            </w:pPr>
            <w:r>
              <w:rPr>
                <w:rFonts w:ascii="Calibri" w:hAnsi="Calibri" w:cs="Calibri" w:eastAsia="Calibri"/>
                <w:b/>
                <w:color w:val="141413"/>
                <w:sz w:val="88"/>
              </w:rPr>
              <w:t>for Google Cloud</w:t>
            </w:r>
          </w:p>
          <w:p>
            <w:pPr>
              <w:spacing w:before="360" w:after="0" w:line="400" w:lineRule="exact"/>
            </w:pPr>
            <w:r>
              <w:rPr>
                <w:rFonts w:ascii="Calibri" w:hAnsi="Calibri" w:cs="Calibri" w:eastAsia="Calibri"/>
                <w:b w:val="0"/>
                <w:color w:val="5F6368"/>
                <w:sz w:val="28"/>
              </w:rPr>
              <w:t>Claude-Powered AI Agents on the Gemini Enterprise Agent Platform &amp; Google Cloud Marketplace</w:t>
            </w:r>
          </w:p>
          <w:p>
            <w:pPr>
              <w:spacing w:before="600" w:after="0"/>
              <w:pBdr>
                <w:bottom w:val="single" w:sz="8" w:space="4" w:color="F1F3F4"/>
              </w:pBdr>
            </w:pPr>
          </w:p>
          <w:p>
            <w:pPr>
              <w:spacing w:before="400" w:after="0"/>
            </w:pPr>
            <w:r>
              <w:rPr>
                <w:rFonts w:ascii="Calibri" w:hAnsi="Calibri" w:cs="Calibri" w:eastAsia="Calibri"/>
                <w:b w:val="0"/>
                <w:color w:val="5F6368"/>
                <w:sz w:val="20"/>
                <w:spacing w:val="10"/>
              </w:rPr>
              <w:t>Prepared by</w:t>
            </w:r>
          </w:p>
          <w:p>
            <w:pPr>
              <w:spacing w:before="120" w:after="0"/>
            </w:pPr>
            <w:r>
              <w:rPr>
                <w:rFonts w:ascii="Calibri" w:hAnsi="Calibri" w:cs="Calibri" w:eastAsia="Calibri"/>
                <w:b/>
                <w:color w:val="141413"/>
                <w:sz w:val="40"/>
              </w:rPr>
              <w:t>Schneider Larbi</w:t>
            </w:r>
          </w:p>
          <w:p>
            <w:pPr>
              <w:spacing w:before="120" w:after="0" w:line="320" w:lineRule="exact"/>
            </w:pPr>
            <w:r>
              <w:rPr>
                <w:rFonts w:ascii="Calibri" w:hAnsi="Calibri" w:cs="Calibri" w:eastAsia="Calibri"/>
                <w:b w:val="0"/>
                <w:color w:val="202124"/>
                <w:sz w:val="24"/>
              </w:rPr>
              <w:t>Senior Manager, Global Partner Technical Architecture</w:t>
            </w:r>
            <w:r>
              <w:br/>
            </w:r>
            <w:r>
              <w:rPr>
                <w:rFonts w:ascii="Calibri" w:hAnsi="Calibri" w:cs="Calibri" w:eastAsia="Calibri"/>
                <w:b w:val="0"/>
                <w:color w:val="202124"/>
                <w:sz w:val="24"/>
              </w:rPr>
              <w:t>— AI &amp; SaaS ISVs</w:t>
            </w:r>
            <w:r>
              <w:br/>
            </w:r>
            <w:r>
              <w:rPr>
                <w:rFonts w:ascii="Calibri" w:hAnsi="Calibri" w:cs="Calibri" w:eastAsia="Calibri"/>
                <w:b w:val="0"/>
                <w:color w:val="202124"/>
                <w:sz w:val="24"/>
              </w:rPr>
              <w:t>Google Cloud</w:t>
            </w:r>
          </w:p>
          <w:p>
            <w:pPr>
              <w:spacing w:before="2600" w:after="0"/>
            </w:pPr>
          </w:p>
          <w:p>
            <w:pPr>
              <w:spacing w:before="0" w:after="0"/>
              <w:jc w:val="right"/>
            </w:pPr>
            <w:r>
              <w:rPr>
                <w:rFonts w:ascii="Calibri" w:hAnsi="Calibri" w:cs="Calibri" w:eastAsia="Calibri"/>
                <w:b w:val="0"/>
                <w:color w:val="5F6368"/>
                <w:sz w:val="20"/>
              </w:rPr>
              <w:t>May 2026</w:t>
            </w:r>
          </w:p>
          <w:p>
            <w:pPr>
              <w:spacing w:before="40" w:after="0"/>
              <w:jc w:val="right"/>
            </w:pPr>
            <w:r>
              <w:rPr>
                <w:rFonts w:ascii="Calibri" w:hAnsi="Calibri" w:cs="Calibri" w:eastAsia="Calibri"/>
                <w:b/>
                <w:color w:val="D97757"/>
                <w:sz w:val="20"/>
                <w:spacing w:val="40"/>
              </w:rPr>
              <w:t>ENGINEERING DESIGN DOCUMENT</w:t>
            </w:r>
          </w:p>
        </w:tc>
      </w:tr>
    </w:tbl>
    <w:p>
      <w:pPr>
        <w:sectPr>
          <w:pgSz w:w="12240" w:h="15840"/>
          <w:pgMar w:top="0" w:right="0" w:bottom="0" w:left="0" w:header="0" w:footer="0" w:gutter="0"/>
          <w:cols w:space="720"/>
          <w:docGrid w:linePitch="360"/>
        </w:sectPr>
      </w:pPr>
    </w:p>
    <w:p>
      <w:pPr>
        <w:spacing w:before="480" w:after="360" w:line="520" w:lineRule="exact"/>
      </w:pPr>
      <w:r>
        <w:rPr>
          <w:rFonts w:ascii="Calibri" w:hAnsi="Calibri" w:cs="Calibri" w:eastAsia="Calibri"/>
          <w:b/>
          <w:color w:val="1A73E8"/>
          <w:sz w:val="40"/>
        </w:rPr>
        <w:t>Table of Contents</w:t>
      </w:r>
    </w:p>
    <w:tbl>
      <w:tblPr>
        <w:tblW w:type="auto" w:w="0"/>
        <w:tblLayout w:type="fixed"/>
        <w:tblLook w:firstColumn="1" w:firstRow="1" w:lastColumn="0" w:lastRow="0" w:noHBand="0" w:noVBand="1" w:val="04A0"/>
        <w:tblW w:w="9360" w:type="dxa"/>
        <w:tblBorders>
          <w:top w:val="nil"/>
          <w:left w:val="nil"/>
          <w:bottom w:val="nil"/>
          <w:right w:val="nil"/>
          <w:insideH w:val="nil"/>
          <w:insideV w:val="nil"/>
        </w:tblBorders>
      </w:tblPr>
      <w:tblGrid>
        <w:gridCol w:w="3216"/>
        <w:gridCol w:w="3216"/>
        <w:gridCol w:w="3216"/>
      </w:tblGrid>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A73E8"/>
                <w:sz w:val="22"/>
              </w:rPr>
              <w:t>1.</w:t>
            </w: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41413"/>
                <w:sz w:val="22"/>
              </w:rPr>
              <w:t>Executive Summary</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2"/>
              </w:rPr>
              <w:t>5</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1.1  What was built</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5</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1.2  Why it matters — three audience lenses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5</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1.3  The architectural thesis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6</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1.4  Why Option A wins over the alternatives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6</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1.5  Status snapshot</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7</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A73E8"/>
                <w:sz w:val="22"/>
              </w:rPr>
              <w:t>2.</w:t>
            </w: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41413"/>
                <w:sz w:val="22"/>
              </w:rPr>
              <w:t>Use Case and Design Goals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2"/>
              </w:rPr>
              <w:t>8</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2.1  Problem statement</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8</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2.2  The three Critical User Journeys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9</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2.3  Design goals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10</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2.4  Non-goals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11</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A73E8"/>
                <w:sz w:val="22"/>
              </w:rPr>
              <w:t>3.</w:t>
            </w: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41413"/>
                <w:sz w:val="22"/>
              </w:rPr>
              <w:t>System Architecture</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2"/>
              </w:rPr>
              <w:t>12</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3.1  Option A in prose and picture</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12</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3.2  Identity and trust flow</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13</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3.3  Component map and responsibilities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14</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3.4  Trust boundaries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15</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A73E8"/>
                <w:sz w:val="22"/>
              </w:rPr>
              <w:t>4.</w:t>
            </w: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41413"/>
                <w:sz w:val="22"/>
              </w:rPr>
              <w:t>Component Deep-Dives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2"/>
              </w:rPr>
              <w:t>16</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4.1  The A2A Bridge (cc-a2a-bridge on Cloud Run)</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16</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4.2  The ADK Orchestrator (cc-backend)</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17</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4.3  Claude Code as a Tool</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19</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4.4  GKE Agent Sandbox (per-user pod)</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20</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4.5  Storage and persistence</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21</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4.6  Artifact emission and MIME-aware routing</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23</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4.7  Workspace management tools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25</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4.8  Agent registration with Discovery Engine</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26</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A73E8"/>
                <w:sz w:val="22"/>
              </w:rPr>
              <w:t>5.</w:t>
            </w: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41413"/>
                <w:sz w:val="22"/>
              </w:rPr>
              <w:t>A Request's Lifecycle</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2"/>
              </w:rPr>
              <w:t>27</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5.1  Step-by-step walkthrough</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27</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5.2  Parking and restoration</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29</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5.3  Timing budget</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29</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A73E8"/>
                <w:sz w:val="22"/>
              </w:rPr>
              <w:t>6.</w:t>
            </w: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41413"/>
                <w:sz w:val="22"/>
              </w:rPr>
              <w:t>Deployment</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2"/>
              </w:rPr>
              <w:t>30</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6.1  GCP project layout</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30</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6.2  Terraform structure</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31</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6.3  Build pipeline</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32</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6.4  Gated rollout pattern</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33</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val="0"/>
                <w:color w:val="202124"/>
                <w:sz w:val="20"/>
              </w:rPr>
              <w:t>6.5  Deploying into a fresh GCP project</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0"/>
              </w:rPr>
              <w:t>33</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A73E8"/>
                <w:sz w:val="22"/>
              </w:rPr>
              <w:t>7.</w:t>
            </w: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41413"/>
                <w:sz w:val="22"/>
              </w:rPr>
              <w:t>Best Practices and Deployment Learnings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2"/>
              </w:rPr>
              <w:t>34</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A73E8"/>
                <w:sz w:val="22"/>
              </w:rPr>
              <w:t>8.</w:t>
            </w: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41413"/>
                <w:sz w:val="22"/>
              </w:rPr>
              <w:t>Operational Considerations</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2"/>
              </w:rPr>
              <w:t>41</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A73E8"/>
                <w:sz w:val="22"/>
              </w:rPr>
              <w:t>9.</w:t>
            </w: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41413"/>
                <w:sz w:val="22"/>
              </w:rPr>
              <w:t>Extensibility and Roadmap</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2"/>
              </w:rPr>
              <w:t>44</w:t>
            </w:r>
          </w:p>
        </w:tc>
      </w:tr>
      <w:tr>
        <w:tc>
          <w:tcPr>
            <w:tcW w:w="503"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A73E8"/>
                <w:sz w:val="22"/>
              </w:rPr>
              <w:t>10.</w:t>
            </w:r>
          </w:p>
        </w:tc>
        <w:tc>
          <w:tcPr>
            <w:tcW w:w="7776" w:type="dxa"/>
            <w:tcMar>
              <w:top w:w="43" w:type="dxa"/>
              <w:left w:w="72" w:type="dxa"/>
              <w:bottom w:w="43" w:type="dxa"/>
              <w:right w:w="72" w:type="dxa"/>
            </w:tcMar>
            <w:tcBorders>
              <w:top w:val="nil"/>
              <w:left w:val="nil"/>
              <w:bottom w:val="nil"/>
              <w:right w:val="nil"/>
            </w:tcBorders>
          </w:tcPr>
          <w:p>
            <w:pPr>
              <w:spacing w:before="0" w:after="0" w:line="300" w:lineRule="exact"/>
            </w:pPr>
            <w:r>
              <w:rPr>
                <w:rFonts w:ascii="Calibri" w:hAnsi="Calibri" w:cs="Calibri" w:eastAsia="Calibri"/>
                <w:b/>
                <w:color w:val="141413"/>
                <w:sz w:val="22"/>
              </w:rPr>
              <w:t>Appendix</w:t>
            </w:r>
          </w:p>
        </w:tc>
        <w:tc>
          <w:tcPr>
            <w:tcW w:w="1007" w:type="dxa"/>
            <w:tcMar>
              <w:top w:w="43" w:type="dxa"/>
              <w:left w:w="72" w:type="dxa"/>
              <w:bottom w:w="43" w:type="dxa"/>
              <w:right w:w="72" w:type="dxa"/>
            </w:tcMar>
            <w:tcBorders>
              <w:top w:val="nil"/>
              <w:left w:val="nil"/>
              <w:bottom w:val="nil"/>
              <w:right w:val="nil"/>
            </w:tcBorders>
          </w:tcPr>
          <w:p>
            <w:pPr>
              <w:spacing w:before="0" w:after="0" w:line="300" w:lineRule="exact"/>
              <w:jc w:val="right"/>
            </w:pPr>
            <w:r>
              <w:rPr>
                <w:rFonts w:ascii="Calibri" w:hAnsi="Calibri" w:cs="Calibri" w:eastAsia="Calibri"/>
                <w:b w:val="0"/>
                <w:color w:val="5F6368"/>
                <w:sz w:val="22"/>
              </w:rPr>
              <w:t>47</w:t>
            </w:r>
          </w:p>
        </w:tc>
      </w:tr>
    </w:tbl>
    <w:p>
      <w:r>
        <w:br w:type="page"/>
      </w:r>
    </w:p>
    <w:p>
      <w:pPr>
        <w:spacing w:before="480" w:after="240" w:line="520" w:lineRule="exact"/>
      </w:pPr>
      <w:r>
        <w:rPr>
          <w:rFonts w:ascii="Calibri" w:hAnsi="Calibri" w:cs="Calibri" w:eastAsia="Calibri"/>
          <w:b/>
          <w:color w:val="1A73E8"/>
          <w:sz w:val="40"/>
        </w:rPr>
        <w:t>1.  Executive Summary</w:t>
      </w:r>
    </w:p>
    <w:p>
      <w:pPr>
        <w:spacing w:before="280" w:after="120" w:line="360" w:lineRule="exact"/>
      </w:pPr>
      <w:r>
        <w:rPr>
          <w:rFonts w:ascii="Calibri" w:hAnsi="Calibri" w:cs="Calibri" w:eastAsia="Calibri"/>
          <w:b/>
          <w:color w:val="141413"/>
          <w:sz w:val="28"/>
        </w:rPr>
        <w:t>1.1  What was built</w:t>
      </w:r>
    </w:p>
    <w:p>
      <w:pPr>
        <w:spacing w:before="0" w:after="160" w:line="320" w:lineRule="exact"/>
      </w:pPr>
      <w:r>
        <w:rPr>
          <w:rFonts w:ascii="Calibri" w:hAnsi="Calibri" w:cs="Calibri" w:eastAsia="Calibri"/>
          <w:b w:val="0"/>
          <w:color w:val="202124"/>
          <w:sz w:val="22"/>
        </w:rPr>
        <w:t>This document describes Claude Powered Agents for Google Cloud, a first-party-quality entry in the Gemini Enterprise Agent Gallery that brings the Claude Code coding harness inside the customer's GCP project. A non-engineer — a product manager, growth marketer, designer, analyst, or legal counsel — selects Claude Code in any Gemini Enterprise thread, describes a goal in plain English, watches the agent read files, run commands, and write code in the working pane, and downloads the result as a file artifact in the same chat thread.</w:t>
      </w:r>
    </w:p>
    <w:p>
      <w:pPr>
        <w:spacing w:before="0" w:after="160" w:line="320" w:lineRule="exact"/>
      </w:pPr>
      <w:r>
        <w:rPr>
          <w:rFonts w:ascii="Calibri" w:hAnsi="Calibri" w:cs="Calibri" w:eastAsia="Calibri"/>
          <w:b w:val="0"/>
          <w:color w:val="202124"/>
          <w:sz w:val="22"/>
        </w:rPr>
        <w:t>Inference runs on Vertex AI in the customer's tenant. Source data, scratch files, and generated artifacts live inside an ephemeral per-user workspace inside the customer's GKE cluster. Nothing leaves the project boundary. Identity flows from Gemini Enterprise through to per-user-prefix Cloud Storage access via downscoped STS tokens, enforced by IAM rather than by application code.</w:t>
      </w:r>
    </w:p>
    <w:p>
      <w:pPr>
        <w:spacing w:before="0" w:after="160" w:line="320" w:lineRule="exact"/>
      </w:pPr>
      <w:r>
        <w:rPr>
          <w:rFonts w:ascii="Calibri" w:hAnsi="Calibri" w:cs="Calibri" w:eastAsia="Calibri"/>
          <w:b w:val="0"/>
          <w:color w:val="202124"/>
          <w:sz w:val="22"/>
        </w:rPr>
        <w:t>The agent has shipped in production, was registered with Gemini Enterprise Discovery Engine in Phase 7, and has been verified end-to-end against the three Critical User Journeys described in Section 2. As of May 2026 the agent is the live Claude entry in the Agent Gallery for the demo tenant, with downloads working, workspace state persistent across turns, and per-user storage isolation enforced by a passing negative test.</w:t>
      </w:r>
    </w:p>
    <w:p>
      <w:pPr>
        <w:spacing w:before="280" w:after="120" w:line="360" w:lineRule="exact"/>
      </w:pPr>
      <w:r>
        <w:rPr>
          <w:rFonts w:ascii="Calibri" w:hAnsi="Calibri" w:cs="Calibri" w:eastAsia="Calibri"/>
          <w:b/>
          <w:color w:val="141413"/>
          <w:sz w:val="28"/>
        </w:rPr>
        <w:t>1.2  Why it matters — three audience lenses</w:t>
      </w:r>
    </w:p>
    <w:p>
      <w:pPr>
        <w:spacing w:before="0" w:after="160" w:line="320" w:lineRule="exact"/>
      </w:pPr>
      <w:r>
        <w:rPr>
          <w:rFonts w:ascii="Calibri" w:hAnsi="Calibri" w:cs="Calibri" w:eastAsia="Calibri"/>
          <w:b w:val="0"/>
          <w:color w:val="202124"/>
          <w:sz w:val="22"/>
        </w:rPr>
        <w:t>For the customer, this is the path Claude Code into the enterprise without leaving the tenant. The non-engineer personas Anthropic's internal usage data identifies as the heaviest non-technical adopters — growth marketers, PMs, designers, analysts, finance, legal — are not going to install a CLI, configure Vertex credentials, or learn a development environment. They will, however, open Gemini Enterprise and describe what they want built. The agent meets them on that surface and produces a downloadable artifact. Data residency and IAM enforcement preserve the security posture the customer's CISO already approved.</w:t>
      </w:r>
    </w:p>
    <w:p>
      <w:pPr>
        <w:spacing w:before="0" w:after="160" w:line="320" w:lineRule="exact"/>
      </w:pPr>
      <w:r>
        <w:rPr>
          <w:rFonts w:ascii="Calibri" w:hAnsi="Calibri" w:cs="Calibri" w:eastAsia="Calibri"/>
          <w:b w:val="0"/>
          <w:color w:val="202124"/>
          <w:sz w:val="22"/>
        </w:rPr>
        <w:t>For Anthropic, a Vertex-resident deployment of Claude Code demonstrates that Claude can be embedded as a peer of native Google Cloud services in regulated environments — not as a remote API customers must trust, but as a workload that runs inside the customer's project under the customer's IAM. Customers who would never approve outbound calls to api.anthropic.com routinely approve inbound calls from their Vertex AI projects to Anthropic-hosted endpoints, because Vertex is part of the existing privileged-API stack.</w:t>
      </w:r>
    </w:p>
    <w:p>
      <w:pPr>
        <w:spacing w:before="0" w:after="160" w:line="320" w:lineRule="exact"/>
      </w:pPr>
      <w:r>
        <w:rPr>
          <w:rFonts w:ascii="Calibri" w:hAnsi="Calibri" w:cs="Calibri" w:eastAsia="Calibri"/>
          <w:b w:val="0"/>
          <w:color w:val="202124"/>
          <w:sz w:val="22"/>
        </w:rPr>
        <w:t>For Google Cloud, the Gemini Enterprise Agent Platform becomes a multi-model frontend rather than a single-model destination. The customer's users pick the best tool for the job from a gallery of specialist agents — Gemini for summarization, Claude for coding, third-party agents for domain-specific work — without giving up the Google identity, the audit log, the data-loss-prevention surface, or the single chat thread.</w:t>
      </w:r>
    </w:p>
    <w:p>
      <w:pPr>
        <w:spacing w:before="280" w:after="120" w:line="360" w:lineRule="exact"/>
      </w:pPr>
      <w:r>
        <w:rPr>
          <w:rFonts w:ascii="Calibri" w:hAnsi="Calibri" w:cs="Calibri" w:eastAsia="Calibri"/>
          <w:b/>
          <w:color w:val="141413"/>
          <w:sz w:val="28"/>
        </w:rPr>
        <w:t>1.3  The architectural thesis</w:t>
      </w:r>
    </w:p>
    <w:p>
      <w:pPr>
        <w:spacing w:before="0" w:after="160" w:line="320" w:lineRule="exact"/>
      </w:pPr>
      <w:r>
        <w:rPr>
          <w:rFonts w:ascii="Calibri" w:hAnsi="Calibri" w:cs="Calibri" w:eastAsia="Calibri"/>
          <w:b w:val="0"/>
          <w:color w:val="202124"/>
          <w:sz w:val="22"/>
        </w:rPr>
        <w:t>There were two plausible designs for this work. Option A is the one shipped: an Agent Development Kit (ADK) orchestrator agent runs inside the GKE pod and the Claude Code subprocess is one of its tools, alongside memory operations, artifact emission, and workspace management. The orchestrator is the brain; Claude Code is the executor for coding-shaped subtasks. Option B inverted this: Claude Code as the entry point, with ADK subagents underneath. The decision to ship Option A is the load-bearing architectural call in this build.</w:t>
      </w:r>
    </w:p>
    <w:tbl>
      <w:tblPr>
        <w:tblW w:type="auto" w:w="0"/>
        <w:tblLayout w:type="fixed"/>
        <w:tblLook w:firstColumn="1" w:firstRow="1" w:lastColumn="0" w:lastRow="0" w:noHBand="0" w:noVBand="1" w:val="04A0"/>
        <w:tblW w:w="9360" w:type="dxa"/>
        <w:tblBorders>
          <w:top w:val="nil"/>
          <w:left w:val="nil"/>
          <w:bottom w:val="nil"/>
          <w:right w:val="nil"/>
          <w:insideH w:val="nil"/>
          <w:insideV w:val="nil"/>
        </w:tblBorders>
      </w:tblPr>
      <w:tblGrid>
        <w:gridCol w:w="9648"/>
      </w:tblGrid>
      <w:tr>
        <w:tc>
          <w:tcPr>
            <w:tcW w:w="9360" w:type="dxa"/>
            <w:shd w:val="clear" w:color="auto" w:fill="FBE9DF"/>
            <w:tcMar>
              <w:top w:w="172" w:type="dxa"/>
              <w:left w:w="288" w:type="dxa"/>
              <w:bottom w:w="172" w:type="dxa"/>
              <w:right w:w="288" w:type="dxa"/>
            </w:tcMar>
            <w:tcBorders>
              <w:left w:val="single" w:sz="24" w:color="D97757"/>
              <w:top w:val="nil"/>
              <w:right w:val="nil"/>
              <w:bottom w:val="nil"/>
            </w:tcBorders>
          </w:tcPr>
          <w:p>
            <w:pPr>
              <w:spacing w:before="0" w:after="0" w:line="320" w:lineRule="exact"/>
            </w:pPr>
            <w:r>
              <w:rPr>
                <w:rFonts w:ascii="Calibri" w:hAnsi="Calibri" w:cs="Calibri" w:eastAsia="Calibri"/>
                <w:b/>
                <w:color w:val="D97757"/>
                <w:sz w:val="20"/>
                <w:spacing w:val="24"/>
              </w:rPr>
              <w:t xml:space="preserve">WHY  </w:t>
            </w:r>
            <w:r>
              <w:rPr>
                <w:rFonts w:ascii="Calibri" w:hAnsi="Calibri" w:cs="Calibri" w:eastAsia="Calibri"/>
                <w:b w:val="0"/>
                <w:color w:val="202124"/>
                <w:sz w:val="21"/>
              </w:rPr>
              <w:t>Option A keeps user identity, model choice, and tool surface orthogonal. Adding a second coding harness (Antigravity, OpenCode, Aider, Gemini's own code-execution tool) becomes a new tool registered on the same orchestrator, not a new architecture. Option B would have coupled all three together and forced a per-harness rewrite of identity propagation, memory, and artifact handling.</w:t>
            </w:r>
          </w:p>
        </w:tc>
      </w:tr>
    </w:tbl>
    <w:p>
      <w:pPr>
        <w:spacing w:before="80" w:after="80"/>
      </w:pPr>
    </w:p>
    <w:p>
      <w:pPr>
        <w:spacing w:before="280" w:after="120" w:line="360" w:lineRule="exact"/>
      </w:pPr>
      <w:r>
        <w:rPr>
          <w:rFonts w:ascii="Calibri" w:hAnsi="Calibri" w:cs="Calibri" w:eastAsia="Calibri"/>
          <w:b/>
          <w:color w:val="141413"/>
          <w:sz w:val="28"/>
        </w:rPr>
        <w:t>1.4  Why Option A wins over the alternatives</w:t>
      </w:r>
    </w:p>
    <w:p>
      <w:pPr>
        <w:spacing w:before="0" w:after="160" w:line="320" w:lineRule="exact"/>
      </w:pPr>
      <w:r>
        <w:rPr>
          <w:rFonts w:ascii="Calibri" w:hAnsi="Calibri" w:cs="Calibri" w:eastAsia="Calibri"/>
          <w:b w:val="0"/>
          <w:color w:val="202124"/>
          <w:sz w:val="22"/>
        </w:rPr>
        <w:t>Option A separates concerns along the axis that matters for extension. Identity propagation, sandbox lifecycle, workspace persistence, signed-URL minting, memory, and artifact emission are all responsibilities of components that do not know which coding harness they're serving. The harness — Claude Code, in this build — is a subprocess invoked by a single tool with a stable contract: receive a prompt, stream events, read and write files under /workspace, return a final result. Replacing Claude Code with any other harness that honors that contract is a tool swap, not a platform change.</w:t>
      </w:r>
    </w:p>
    <w:p>
      <w:pPr>
        <w:spacing w:before="0" w:after="160" w:line="320" w:lineRule="exact"/>
      </w:pPr>
      <w:r>
        <w:rPr>
          <w:rFonts w:ascii="Calibri" w:hAnsi="Calibri" w:cs="Calibri" w:eastAsia="Calibri"/>
          <w:b w:val="0"/>
          <w:color w:val="202124"/>
          <w:sz w:val="22"/>
        </w:rPr>
        <w:t>Option B, where Claude Code itself was the entry point and ADK sub-agents were invoked from inside it, would have required Claude Code to learn about Gemini Enterprise's A2A protocol, Cloud Run sandbox claims, downscoped STS tokens, and Discovery Engine registration semantics. Those concerns belong outside the harness. The Option-A separation also means the orchestrator can decide when the request doesn't need the coding harness at all — for greetings, follow-up questions, recall-only requests — and avoid spinning up a subprocess.</w:t>
      </w:r>
    </w:p>
    <w:p>
      <w:pPr>
        <w:spacing w:before="280" w:after="120" w:line="360" w:lineRule="exact"/>
      </w:pPr>
      <w:r>
        <w:rPr>
          <w:rFonts w:ascii="Calibri" w:hAnsi="Calibri" w:cs="Calibri" w:eastAsia="Calibri"/>
          <w:b/>
          <w:color w:val="141413"/>
          <w:sz w:val="28"/>
        </w:rPr>
        <w:t>1.5  Status snapshot</w:t>
      </w:r>
    </w:p>
    <w:tbl>
      <w:tblPr>
        <w:tblW w:type="auto" w:w="0"/>
        <w:tblLayout w:type="fixed"/>
        <w:tblLook w:firstColumn="1" w:firstRow="1" w:lastColumn="0" w:lastRow="0" w:noHBand="0" w:noVBand="1" w:val="04A0"/>
        <w:tblW w:w="9360" w:type="dxa"/>
        <w:tblBorders>
          <w:top w:val="single" w:sz="4" w:color="F1F3F4"/>
          <w:left w:val="single" w:sz="4" w:color="F1F3F4"/>
          <w:bottom w:val="single" w:sz="4" w:color="F1F3F4"/>
          <w:right w:val="single" w:sz="4" w:color="F1F3F4"/>
          <w:insideH w:val="single" w:sz="4" w:color="F1F3F4"/>
          <w:insideV w:val="single" w:sz="4" w:color="F1F3F4"/>
        </w:tblBorders>
      </w:tblPr>
      <w:tblGrid>
        <w:gridCol w:w="3216"/>
        <w:gridCol w:w="3216"/>
        <w:gridCol w:w="3216"/>
      </w:tblGrid>
      <w:tr>
        <w:tc>
          <w:tcPr>
            <w:tcW w:w="2304"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Surface</w:t>
            </w:r>
          </w:p>
        </w:tc>
        <w:tc>
          <w:tcPr>
            <w:tcW w:w="2448"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State</w:t>
            </w:r>
          </w:p>
        </w:tc>
        <w:tc>
          <w:tcPr>
            <w:tcW w:w="5040"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Evidence</w:t>
            </w:r>
          </w:p>
        </w:tc>
      </w:tr>
      <w:tr>
        <w:tc>
          <w:tcPr>
            <w:tcW w:w="230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Agent Gallery registration</w:t>
            </w:r>
          </w:p>
        </w:tc>
        <w:tc>
          <w:tcPr>
            <w:tcW w:w="24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Live in the demo tenant</w:t>
            </w:r>
          </w:p>
        </w:tc>
        <w:tc>
          <w:tcPr>
            <w:tcW w:w="504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Discovery Engine agent ID 5479509043993124503, state=ENABLED</w:t>
            </w:r>
          </w:p>
        </w:tc>
      </w:tr>
      <w:tr>
        <w:tc>
          <w:tcPr>
            <w:tcW w:w="2304"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End-to-end CUJ coverage</w:t>
            </w:r>
          </w:p>
        </w:tc>
        <w:tc>
          <w:tcPr>
            <w:tcW w:w="244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All three passing</w:t>
            </w:r>
          </w:p>
        </w:tc>
        <w:tc>
          <w:tcPr>
            <w:tcW w:w="504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PM prototype, marketer CSV→ad-copy, analyst CSV→dashboard — verified in real GE threads</w:t>
            </w:r>
          </w:p>
        </w:tc>
      </w:tr>
      <w:tr>
        <w:tc>
          <w:tcPr>
            <w:tcW w:w="230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Per-user isolation</w:t>
            </w:r>
          </w:p>
        </w:tc>
        <w:tc>
          <w:tcPr>
            <w:tcW w:w="24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IAM-enforced, tested</w:t>
            </w:r>
          </w:p>
        </w:tc>
        <w:tc>
          <w:tcPr>
            <w:tcW w:w="504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Negative test: user A's pod returns 403 when attempting to read user B's GCS prefix</w:t>
            </w:r>
          </w:p>
        </w:tc>
      </w:tr>
      <w:tr>
        <w:tc>
          <w:tcPr>
            <w:tcW w:w="2304"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Workspace persistence</w:t>
            </w:r>
          </w:p>
        </w:tc>
        <w:tc>
          <w:tcPr>
            <w:tcW w:w="244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Park/restore across pod cycles</w:t>
            </w:r>
          </w:p>
        </w:tc>
        <w:tc>
          <w:tcPr>
            <w:tcW w:w="504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Manifest-driven backup to gs://&lt;project&gt;-cc-a2a-snapshots/users/&lt;key&gt;/, restored on next claim</w:t>
            </w:r>
          </w:p>
        </w:tc>
      </w:tr>
      <w:tr>
        <w:tc>
          <w:tcPr>
            <w:tcW w:w="230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Multi-turn memory</w:t>
            </w:r>
          </w:p>
        </w:tc>
        <w:tc>
          <w:tcPr>
            <w:tcW w:w="24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Cross-thread facts retained</w:t>
            </w:r>
          </w:p>
        </w:tc>
        <w:tc>
          <w:tcPr>
            <w:tcW w:w="504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Firestore-backed `remember`/`recall` tools; facts survive pod restart and new GE thread</w:t>
            </w:r>
          </w:p>
        </w:tc>
      </w:tr>
      <w:tr>
        <w:tc>
          <w:tcPr>
            <w:tcW w:w="2304"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Artifact downloads</w:t>
            </w:r>
          </w:p>
        </w:tc>
        <w:tc>
          <w:tcPr>
            <w:tcW w:w="244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Both MIME paths verified</w:t>
            </w:r>
          </w:p>
        </w:tc>
        <w:tc>
          <w:tcPr>
            <w:tcW w:w="504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Path A native chip for allowlisted MIMEs; Path B signed URL with Content-Disposition=attachment for the rest</w:t>
            </w:r>
          </w:p>
        </w:tc>
      </w:tr>
    </w:tbl>
    <w:p>
      <w:pPr>
        <w:spacing w:before="80" w:after="80"/>
      </w:pPr>
    </w:p>
    <w:p>
      <w:r>
        <w:br w:type="page"/>
      </w:r>
    </w:p>
    <w:p>
      <w:pPr>
        <w:spacing w:before="480" w:after="240" w:line="520" w:lineRule="exact"/>
      </w:pPr>
      <w:r>
        <w:rPr>
          <w:rFonts w:ascii="Calibri" w:hAnsi="Calibri" w:cs="Calibri" w:eastAsia="Calibri"/>
          <w:b/>
          <w:color w:val="1A73E8"/>
          <w:sz w:val="40"/>
        </w:rPr>
        <w:t>2.  Use Case and Design Goals</w:t>
      </w:r>
    </w:p>
    <w:p>
      <w:pPr>
        <w:spacing w:before="280" w:after="120" w:line="360" w:lineRule="exact"/>
      </w:pPr>
      <w:r>
        <w:rPr>
          <w:rFonts w:ascii="Calibri" w:hAnsi="Calibri" w:cs="Calibri" w:eastAsia="Calibri"/>
          <w:b/>
          <w:color w:val="141413"/>
          <w:sz w:val="28"/>
        </w:rPr>
        <w:t>2.1  Problem statement</w:t>
      </w:r>
    </w:p>
    <w:p>
      <w:pPr>
        <w:spacing w:before="0" w:after="160" w:line="320" w:lineRule="exact"/>
      </w:pPr>
      <w:r>
        <w:rPr>
          <w:rFonts w:ascii="Calibri" w:hAnsi="Calibri" w:cs="Calibri" w:eastAsia="Calibri"/>
          <w:b w:val="0"/>
          <w:color w:val="202124"/>
          <w:sz w:val="22"/>
        </w:rPr>
        <w:t>The conventional Claude Code installation lives on an engineer's laptop or in a CI pipeline. It assumes a developer audience that knows what a CLI is, has cloud credentials, and edits files in an IDE. Anthropic's internal usage data tells a different story: by user count, the heaviest adopters of Claude Code are non-engineers in roles where the assistant writes single-shot artifacts — a marketer running A/B copy variants, a PM drafting a prototype to share with engineering, an analyst transforming a messy CSV into a dashboard, a legal counsel drafting a comparison table. They use Claude Code because the alternative tools require a coding intuition the task itself does not.</w:t>
      </w:r>
    </w:p>
    <w:p>
      <w:pPr>
        <w:spacing w:before="0" w:after="160" w:line="320" w:lineRule="exact"/>
      </w:pPr>
      <w:r>
        <w:rPr>
          <w:rFonts w:ascii="Calibri" w:hAnsi="Calibri" w:cs="Calibri" w:eastAsia="Calibri"/>
          <w:b w:val="0"/>
          <w:color w:val="202124"/>
          <w:sz w:val="22"/>
        </w:rPr>
        <w:t>Those users are not going to install a developer environment, and the enterprise IT organization is rarely going to approve credentials on an unmanaged machine. What they will do — what they already do — is open Gemini Enterprise and chat with a gallery agent. The objective of this work is to put a Claude Code agent in that gallery so the chat thread becomes the surface on which the artifact is built.</w:t>
      </w:r>
    </w:p>
    <w:p>
      <w:pPr>
        <w:spacing w:before="0" w:after="160" w:line="320" w:lineRule="exact"/>
      </w:pPr>
      <w:r>
        <w:rPr>
          <w:rFonts w:ascii="Calibri" w:hAnsi="Calibri" w:cs="Calibri" w:eastAsia="Calibri"/>
          <w:b w:val="0"/>
          <w:color w:val="202124"/>
          <w:sz w:val="22"/>
        </w:rPr>
        <w:t>The constraint that makes this hard is identity and isolation. Each Gemini Enterprise user must have a private workspace whose contents are scoped to them. Inference and stored data must remain inside the customer's GCP project. The CISO's existing audit trail, DLP scanning, and IAM configuration must remain authoritative — the agent cannot be a hole that bypasses them. And the experience inside the chat thread must be good enough that a non-engineer completes their task without leaving GE to find an alternative.</w:t>
      </w:r>
    </w:p>
    <w:p>
      <w:pPr>
        <w:spacing w:before="280" w:after="120" w:line="360" w:lineRule="exact"/>
      </w:pPr>
      <w:r>
        <w:rPr>
          <w:rFonts w:ascii="Calibri" w:hAnsi="Calibri" w:cs="Calibri" w:eastAsia="Calibri"/>
          <w:b/>
          <w:color w:val="141413"/>
          <w:sz w:val="28"/>
        </w:rPr>
        <w:t>2.2  The three Critical User Journeys</w:t>
      </w:r>
    </w:p>
    <w:p>
      <w:pPr>
        <w:spacing w:before="0" w:after="160" w:line="320" w:lineRule="exact"/>
      </w:pPr>
      <w:r>
        <w:rPr>
          <w:rFonts w:ascii="Calibri" w:hAnsi="Calibri" w:cs="Calibri" w:eastAsia="Calibri"/>
          <w:b w:val="0"/>
          <w:color w:val="202124"/>
          <w:sz w:val="22"/>
        </w:rPr>
        <w:t>Three Critical User Journeys (CUJs) were selected as the acceptance bar for v1. Each one exercises a distinct slice of the system, and together they cover the surface the agent must support for the documented user personas:</w:t>
      </w:r>
    </w:p>
    <w:tbl>
      <w:tblPr>
        <w:tblW w:type="auto" w:w="0"/>
        <w:tblLayout w:type="fixed"/>
        <w:tblLook w:firstColumn="1" w:firstRow="1" w:lastColumn="0" w:lastRow="0" w:noHBand="0" w:noVBand="1" w:val="04A0"/>
        <w:tblW w:w="9360" w:type="dxa"/>
        <w:tblBorders>
          <w:top w:val="single" w:sz="4" w:color="F1F3F4"/>
          <w:left w:val="single" w:sz="4" w:color="F1F3F4"/>
          <w:bottom w:val="single" w:sz="4" w:color="F1F3F4"/>
          <w:right w:val="single" w:sz="4" w:color="F1F3F4"/>
          <w:insideH w:val="single" w:sz="4" w:color="F1F3F4"/>
          <w:insideV w:val="single" w:sz="4" w:color="F1F3F4"/>
        </w:tblBorders>
      </w:tblPr>
      <w:tblGrid>
        <w:gridCol w:w="3216"/>
        <w:gridCol w:w="3216"/>
        <w:gridCol w:w="3216"/>
      </w:tblGrid>
      <w:tr>
        <w:tc>
          <w:tcPr>
            <w:tcW w:w="1872"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Persona</w:t>
            </w:r>
          </w:p>
        </w:tc>
        <w:tc>
          <w:tcPr>
            <w:tcW w:w="4176"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Critical user journey</w:t>
            </w:r>
          </w:p>
        </w:tc>
        <w:tc>
          <w:tcPr>
            <w:tcW w:w="3744"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What it exercises</w:t>
            </w:r>
          </w:p>
        </w:tc>
      </w:tr>
      <w:tr>
        <w:tc>
          <w:tcPr>
            <w:tcW w:w="187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Product manager</w:t>
            </w:r>
          </w:p>
        </w:tc>
        <w:tc>
          <w:tcPr>
            <w:tcW w:w="4176"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Spec → prototype. Paste a PRD link; receive a working HTML prototype as a file artifact; iterate in the same thread ("make the empty state friendlier").</w:t>
            </w:r>
          </w:p>
        </w:tc>
        <w:tc>
          <w:tcPr>
            <w:tcW w:w="374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Reading external content, generating multi-file HTML, Path A artifact emission, multi-turn refinement, workspace persistence across turns.</w:t>
            </w:r>
          </w:p>
        </w:tc>
      </w:tr>
      <w:tr>
        <w:tc>
          <w:tcPr>
            <w:tcW w:w="187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Growth marketer</w:t>
            </w:r>
          </w:p>
        </w:tc>
        <w:tc>
          <w:tcPr>
            <w:tcW w:w="4176"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CSV → ad copy. Upload an ad-performance CSV; agent finds the bottom-quartile headlines and writes 50 variants; returns a spreadsheet artifact.</w:t>
            </w:r>
          </w:p>
        </w:tc>
        <w:tc>
          <w:tcPr>
            <w:tcW w:w="3744"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Tabular data analysis, structured output to CSV, Path A allowlisted-MIME artifact emission, in-pod Python execution.</w:t>
            </w:r>
          </w:p>
        </w:tc>
      </w:tr>
      <w:tr>
        <w:tc>
          <w:tcPr>
            <w:tcW w:w="187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Analyst</w:t>
            </w:r>
          </w:p>
        </w:tc>
        <w:tc>
          <w:tcPr>
            <w:tcW w:w="4176"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Messy CSV → interactive HTML dashboard with date slider. Drop a billing export; receive a self-contained HTML page with embedded JS and CSS.</w:t>
            </w:r>
          </w:p>
        </w:tc>
        <w:tc>
          <w:tcPr>
            <w:tcW w:w="374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Data wrangling, complex HTML/JS generation, Path B signed-URL emission (HTML is not on the GE inline allowlist), Content-Disposition=attachment behaviour.</w:t>
            </w:r>
          </w:p>
        </w:tc>
      </w:tr>
    </w:tbl>
    <w:p>
      <w:pPr>
        <w:spacing w:before="80" w:after="80"/>
      </w:pPr>
    </w:p>
    <w:p>
      <w:pPr>
        <w:spacing w:before="0" w:after="160" w:line="320" w:lineRule="exact"/>
      </w:pPr>
      <w:r>
        <w:rPr>
          <w:rFonts w:ascii="Calibri" w:hAnsi="Calibri" w:cs="Calibri" w:eastAsia="Calibri"/>
          <w:b w:val="0"/>
          <w:color w:val="202124"/>
          <w:sz w:val="22"/>
        </w:rPr>
        <w:t>These three were chosen because they cover the orthogonal dimensions of the agent's behavior: input modality (URL, uploaded CSV, dropped file), output modality (single-file artifact, multi-file artifact, large interactive artifact), and refinement pattern (one-shot, iterative). A system that ships all three is shaped right for the long tail of non-engineer tasks; a system that ships only one is load-bearing on a single happy path.</w:t>
      </w:r>
    </w:p>
    <w:p>
      <w:pPr>
        <w:spacing w:before="280" w:after="120" w:line="360" w:lineRule="exact"/>
      </w:pPr>
      <w:r>
        <w:rPr>
          <w:rFonts w:ascii="Calibri" w:hAnsi="Calibri" w:cs="Calibri" w:eastAsia="Calibri"/>
          <w:b/>
          <w:color w:val="141413"/>
          <w:sz w:val="28"/>
        </w:rPr>
        <w:t>2.3  Design goals</w:t>
      </w:r>
    </w:p>
    <w:p>
      <w:pPr>
        <w:spacing w:before="200" w:after="80" w:line="320" w:lineRule="exact"/>
      </w:pPr>
      <w:r>
        <w:rPr>
          <w:rFonts w:ascii="Calibri" w:hAnsi="Calibri" w:cs="Calibri" w:eastAsia="Calibri"/>
          <w:b/>
          <w:color w:val="141413"/>
          <w:sz w:val="24"/>
        </w:rPr>
        <w:t>In-tenant data residency</w:t>
      </w:r>
    </w:p>
    <w:p>
      <w:pPr>
        <w:spacing w:before="0" w:after="160" w:line="320" w:lineRule="exact"/>
      </w:pPr>
      <w:r>
        <w:rPr>
          <w:rFonts w:ascii="Calibri" w:hAnsi="Calibri" w:cs="Calibri" w:eastAsia="Calibri"/>
          <w:b w:val="0"/>
          <w:color w:val="202124"/>
          <w:sz w:val="22"/>
        </w:rPr>
        <w:t>All inference, all stored files, and all logs remain inside the customer's GCP project. Vertex AI is configured against the customer's project, not against a managed Anthropic endpoint. The workspace bucket lives in the customer's project. Firestore sessions and memory live in the customer's Firestore database. No outbound network calls to api.anthropic.com or to Anthropic's general-purpose hosted Claude. The Cloud Run bridge has a default-deny egress NetworkPolicy in front of the sandbox pods that prevents the harness from reaching the public internet at all.</w:t>
      </w:r>
    </w:p>
    <w:p>
      <w:pPr>
        <w:spacing w:before="200" w:after="80" w:line="320" w:lineRule="exact"/>
      </w:pPr>
      <w:r>
        <w:rPr>
          <w:rFonts w:ascii="Calibri" w:hAnsi="Calibri" w:cs="Calibri" w:eastAsia="Calibri"/>
          <w:b/>
          <w:color w:val="141413"/>
          <w:sz w:val="24"/>
        </w:rPr>
        <w:t>IAM-enforced per-user isolation</w:t>
      </w:r>
    </w:p>
    <w:p>
      <w:pPr>
        <w:spacing w:before="0" w:after="160" w:line="320" w:lineRule="exact"/>
      </w:pPr>
      <w:r>
        <w:rPr>
          <w:rFonts w:ascii="Calibri" w:hAnsi="Calibri" w:cs="Calibri" w:eastAsia="Calibri"/>
          <w:b w:val="0"/>
          <w:color w:val="202124"/>
          <w:sz w:val="22"/>
        </w:rPr>
        <w:t>The agent must never let user A read user B's files. This is not enforced by application code that filters paths (which would fail under any vulnerability in the harness); it is enforced by IAM. Each user's pod receives a downscoped STS token with a Credential Access Boundary CEL condition that restricts the token's effective scope to gs://&lt;bucket&gt;/users/&lt;user_key&gt;/. The pod's own service account has zero IAM on the bucket. The negative test that demonstrates this — a pod with user_key A attempting to GET an object under users/B/ — receives a 403 from the Cloud Storage server, not a 403 from our code.</w:t>
      </w:r>
    </w:p>
    <w:p>
      <w:pPr>
        <w:spacing w:before="200" w:after="80" w:line="320" w:lineRule="exact"/>
      </w:pPr>
      <w:r>
        <w:rPr>
          <w:rFonts w:ascii="Calibri" w:hAnsi="Calibri" w:cs="Calibri" w:eastAsia="Calibri"/>
          <w:b/>
          <w:color w:val="141413"/>
          <w:sz w:val="24"/>
        </w:rPr>
        <w:t>Native Gemini Enterprise chat surface</w:t>
      </w:r>
    </w:p>
    <w:p>
      <w:pPr>
        <w:spacing w:before="0" w:after="160" w:line="320" w:lineRule="exact"/>
      </w:pPr>
      <w:r>
        <w:rPr>
          <w:rFonts w:ascii="Calibri" w:hAnsi="Calibri" w:cs="Calibri" w:eastAsia="Calibri"/>
          <w:b w:val="0"/>
          <w:color w:val="202124"/>
          <w:sz w:val="22"/>
        </w:rPr>
        <w:t>The agent's UI is the Gemini Enterprise thread. There is no separate web app, no installed client, no embedded iframe. Tool calls render in the thinking pane as the agent runs. File artifacts appear as native GE chips when MIME is supported. The pattern matches what a Gemini Enterprise user already knows; the Claude attribution is in the agent card and the working pane, not in a divergent UX.</w:t>
      </w:r>
    </w:p>
    <w:p>
      <w:pPr>
        <w:spacing w:before="200" w:after="80" w:line="320" w:lineRule="exact"/>
      </w:pPr>
      <w:r>
        <w:rPr>
          <w:rFonts w:ascii="Calibri" w:hAnsi="Calibri" w:cs="Calibri" w:eastAsia="Calibri"/>
          <w:b/>
          <w:color w:val="141413"/>
          <w:sz w:val="24"/>
        </w:rPr>
        <w:t>Downloadable artifacts in the chat thread</w:t>
      </w:r>
    </w:p>
    <w:p>
      <w:pPr>
        <w:spacing w:before="0" w:after="160" w:line="320" w:lineRule="exact"/>
      </w:pPr>
      <w:r>
        <w:rPr>
          <w:rFonts w:ascii="Calibri" w:hAnsi="Calibri" w:cs="Calibri" w:eastAsia="Calibri"/>
          <w:b w:val="0"/>
          <w:color w:val="202124"/>
          <w:sz w:val="22"/>
        </w:rPr>
        <w:t>Every file the agent produces must be downloadable directly from the chat thread without context-switching. The agent emits artifacts via the emit_artifact tool, which routes automatically based on MIME: allowlisted types render as native chips; everything else returns a signed Cloud Storage URL with Content-Disposition=attachment that the agent embeds in its reply as a clickable link.</w:t>
      </w:r>
    </w:p>
    <w:p>
      <w:pPr>
        <w:spacing w:before="200" w:after="80" w:line="320" w:lineRule="exact"/>
      </w:pPr>
      <w:r>
        <w:rPr>
          <w:rFonts w:ascii="Calibri" w:hAnsi="Calibri" w:cs="Calibri" w:eastAsia="Calibri"/>
          <w:b/>
          <w:color w:val="141413"/>
          <w:sz w:val="24"/>
        </w:rPr>
        <w:t>Conversational workspace management</w:t>
      </w:r>
    </w:p>
    <w:p>
      <w:pPr>
        <w:spacing w:before="0" w:after="160" w:line="320" w:lineRule="exact"/>
      </w:pPr>
      <w:r>
        <w:rPr>
          <w:rFonts w:ascii="Calibri" w:hAnsi="Calibri" w:cs="Calibri" w:eastAsia="Calibri"/>
          <w:b w:val="0"/>
          <w:color w:val="202124"/>
          <w:sz w:val="22"/>
        </w:rPr>
        <w:t>The workspace is not a hidden implementation detail. The user can ask "what files do I have?", "open the dashboard I made yesterday", "delete the old draft", and the agent responds without invoking the Claude Code subprocess. The list_workspace, read_workspace_file, delete_workspace_file, and move_workspace_file tools live on the orchestrator and respond directly. The workspace is treated as the user's filesystem; the agent is its concierge.</w:t>
      </w:r>
    </w:p>
    <w:p>
      <w:pPr>
        <w:spacing w:before="280" w:after="120" w:line="360" w:lineRule="exact"/>
      </w:pPr>
      <w:r>
        <w:rPr>
          <w:rFonts w:ascii="Calibri" w:hAnsi="Calibri" w:cs="Calibri" w:eastAsia="Calibri"/>
          <w:b/>
          <w:color w:val="141413"/>
          <w:sz w:val="28"/>
        </w:rPr>
        <w:t>2.4  Non-goals</w:t>
      </w:r>
    </w:p>
    <w:p>
      <w:pPr>
        <w:spacing w:before="0" w:after="160" w:line="320" w:lineRule="exact"/>
      </w:pPr>
      <w:r>
        <w:rPr>
          <w:rFonts w:ascii="Calibri" w:hAnsi="Calibri" w:cs="Calibri" w:eastAsia="Calibri"/>
          <w:b w:val="0"/>
          <w:color w:val="202124"/>
          <w:sz w:val="22"/>
        </w:rPr>
        <w:t>Several features that would be reasonable in a longer-term version are explicitly out of scope for v1, so the surface stays small enough to verify end-to-end. The agent is not a general-purpose IDE replacement; it does not provide syntax highlighting, debugger surfaces, or git-history browsing inside the chat thread. It is not a multi-user collaborative workspace; each user's pod is private, and shared state across users is deferred to the memory layer and explicit handoff patterns. It does not embed model-routing logic that picks between Claude variants for different subtasks; v1 uses Claude Opus 4.7 for both the orchestrator (via LiteLLM/ADK) and the harness (via Vertex). It does not aim to support coding harnesses other than Claude Code in v1, although the architecture admits additional harnesses as new tools without structural change.</w:t>
      </w:r>
    </w:p>
    <w:p>
      <w:r>
        <w:br w:type="page"/>
      </w:r>
    </w:p>
    <w:p>
      <w:pPr>
        <w:spacing w:before="480" w:after="240" w:line="520" w:lineRule="exact"/>
      </w:pPr>
      <w:r>
        <w:rPr>
          <w:rFonts w:ascii="Calibri" w:hAnsi="Calibri" w:cs="Calibri" w:eastAsia="Calibri"/>
          <w:b/>
          <w:color w:val="1A73E8"/>
          <w:sz w:val="40"/>
        </w:rPr>
        <w:t>3.  System Architecture</w:t>
      </w:r>
    </w:p>
    <w:p>
      <w:pPr>
        <w:spacing w:before="280" w:after="120" w:line="360" w:lineRule="exact"/>
      </w:pPr>
      <w:r>
        <w:rPr>
          <w:rFonts w:ascii="Calibri" w:hAnsi="Calibri" w:cs="Calibri" w:eastAsia="Calibri"/>
          <w:b/>
          <w:color w:val="141413"/>
          <w:sz w:val="28"/>
        </w:rPr>
        <w:t>3.1  Option A in prose and picture</w:t>
      </w:r>
    </w:p>
    <w:p>
      <w:pPr>
        <w:spacing w:before="0" w:after="160" w:line="320" w:lineRule="exact"/>
      </w:pPr>
      <w:r>
        <w:rPr>
          <w:rFonts w:ascii="Calibri" w:hAnsi="Calibri" w:cs="Calibri" w:eastAsia="Calibri"/>
          <w:b w:val="0"/>
          <w:color w:val="202124"/>
          <w:sz w:val="22"/>
        </w:rPr>
        <w:t>The system has three layers, each of which is the boundary of a different concern. The Gemini Enterprise frontend is the user's surface and the source of identity. The A2A bridge on Cloud Run is the stateless protocol adapter that translates between Gemini Enterprise's Agent-to-Agent protocol and the in-cluster sandbox runtime. The cc-backend pod, running in a GKE Agent Sandbox, hosts the ADK orchestrator and the Claude Code subprocess for a single user. The bridge is stateless and shared; the backend pod is stateful and per-user.</w:t>
      </w:r>
    </w:p>
    <w:tbl>
      <w:tblPr>
        <w:tblW w:type="auto" w:w="0"/>
        <w:tblLayout w:type="fixed"/>
        <w:tblLook w:firstColumn="1" w:firstRow="1" w:lastColumn="0" w:lastRow="0" w:noHBand="0" w:noVBand="1" w:val="04A0"/>
        <w:tblW w:w="9360" w:type="dxa"/>
        <w:tblBorders>
          <w:top w:val="nil"/>
          <w:left w:val="nil"/>
          <w:bottom w:val="nil"/>
          <w:right w:val="nil"/>
          <w:insideH w:val="nil"/>
          <w:insideV w:val="nil"/>
        </w:tblBorders>
      </w:tblPr>
      <w:tblGrid>
        <w:gridCol w:w="9648"/>
      </w:tblGrid>
      <w:tr>
        <w:tc>
          <w:tcPr>
            <w:tcW w:w="9360" w:type="dxa"/>
            <w:shd w:val="clear" w:color="auto" w:fill="F8F4ED"/>
            <w:tcMar>
              <w:top w:w="144" w:type="dxa"/>
              <w:left w:w="216" w:type="dxa"/>
              <w:bottom w:w="144" w:type="dxa"/>
              <w:right w:w="216" w:type="dxa"/>
            </w:tcMar>
            <w:tcBorders>
              <w:top w:val="nil"/>
              <w:left w:val="nil"/>
              <w:bottom w:val="nil"/>
              <w:right w:val="nil"/>
            </w:tcBorders>
          </w:tcPr>
          <w:p>
            <w:pPr>
              <w:spacing w:before="0" w:after="0" w:line="260" w:lineRule="exact"/>
            </w:pPr>
            <w:r>
              <w:rPr>
                <w:rFonts w:ascii="Consolas" w:hAnsi="Consolas" w:cs="Consolas" w:eastAsia="Consolas"/>
                <w:b w:val="0"/>
                <w:color w:val="141413"/>
                <w:sz w:val="19"/>
              </w:rPr>
              <w:t>Gemini Enterprise (A2A turn + user OAuth token)</w:t>
            </w:r>
          </w:p>
          <w:p>
            <w:pPr>
              <w:spacing w:before="0" w:after="0" w:line="260" w:lineRule="exact"/>
            </w:pPr>
            <w:r>
              <w:rPr>
                <w:rFonts w:ascii="Consolas" w:hAnsi="Consolas" w:cs="Consolas" w:eastAsia="Consolas"/>
                <w:b w:val="0"/>
                <w:color w:val="141413"/>
                <w:sz w:val="19"/>
              </w:rPr>
              <w:t xml:space="preserve">        │</w:t>
            </w:r>
          </w:p>
          <w:p>
            <w:pPr>
              <w:spacing w:before="0" w:after="0" w:line="260" w:lineRule="exact"/>
            </w:pPr>
            <w:r>
              <w:rPr>
                <w:rFonts w:ascii="Consolas" w:hAnsi="Consolas" w:cs="Consolas" w:eastAsia="Consolas"/>
                <w:b w:val="0"/>
                <w:color w:val="141413"/>
                <w:sz w:val="19"/>
              </w:rPr>
              <w:t xml:space="preserve">        ▼</w:t>
            </w:r>
          </w:p>
          <w:p>
            <w:pPr>
              <w:spacing w:before="0" w:after="0" w:line="260" w:lineRule="exact"/>
            </w:pPr>
            <w:r>
              <w:rPr>
                <w:rFonts w:ascii="Consolas" w:hAnsi="Consolas" w:cs="Consolas" w:eastAsia="Consolas"/>
                <w:b w:val="0"/>
                <w:color w:val="141413"/>
                <w:sz w:val="19"/>
              </w:rPr>
              <w:t>┌────────────────────────────────────────────────┐</w:t>
            </w:r>
          </w:p>
          <w:p>
            <w:pPr>
              <w:spacing w:before="0" w:after="0" w:line="260" w:lineRule="exact"/>
            </w:pPr>
            <w:r>
              <w:rPr>
                <w:rFonts w:ascii="Consolas" w:hAnsi="Consolas" w:cs="Consolas" w:eastAsia="Consolas"/>
                <w:b w:val="0"/>
                <w:color w:val="141413"/>
                <w:sz w:val="19"/>
              </w:rPr>
              <w:t>│  cc-a2a-bridge  (Cloud Run, stateless)         │</w:t>
            </w:r>
          </w:p>
          <w:p>
            <w:pPr>
              <w:spacing w:before="0" w:after="0" w:line="260" w:lineRule="exact"/>
            </w:pPr>
            <w:r>
              <w:rPr>
                <w:rFonts w:ascii="Consolas" w:hAnsi="Consolas" w:cs="Consolas" w:eastAsia="Consolas"/>
                <w:b w:val="0"/>
                <w:color w:val="141413"/>
                <w:sz w:val="19"/>
              </w:rPr>
              <w:t>│  - A2A JSON-RPC adapter only                   │</w:t>
            </w:r>
          </w:p>
          <w:p>
            <w:pPr>
              <w:spacing w:before="0" w:after="0" w:line="260" w:lineRule="exact"/>
            </w:pPr>
            <w:r>
              <w:rPr>
                <w:rFonts w:ascii="Consolas" w:hAnsi="Consolas" w:cs="Consolas" w:eastAsia="Consolas"/>
                <w:b w:val="0"/>
                <w:color w:val="141413"/>
                <w:sz w:val="19"/>
              </w:rPr>
              <w:t>│  - Resolves token → user_key                   │</w:t>
            </w:r>
          </w:p>
          <w:p>
            <w:pPr>
              <w:spacing w:before="0" w:after="0" w:line="260" w:lineRule="exact"/>
            </w:pPr>
            <w:r>
              <w:rPr>
                <w:rFonts w:ascii="Consolas" w:hAnsi="Consolas" w:cs="Consolas" w:eastAsia="Consolas"/>
                <w:b w:val="0"/>
                <w:color w:val="141413"/>
                <w:sz w:val="19"/>
              </w:rPr>
              <w:t>│  - Gets-or-creates SandboxClaim/cc-u-&lt;key&gt;     │</w:t>
            </w:r>
          </w:p>
          <w:p>
            <w:pPr>
              <w:spacing w:before="0" w:after="0" w:line="260" w:lineRule="exact"/>
            </w:pPr>
            <w:r>
              <w:rPr>
                <w:rFonts w:ascii="Consolas" w:hAnsi="Consolas" w:cs="Consolas" w:eastAsia="Consolas"/>
                <w:b w:val="0"/>
                <w:color w:val="141413"/>
                <w:sz w:val="19"/>
              </w:rPr>
              <w:t>│  - Mints downscoped STS token for user prefix  │</w:t>
            </w:r>
          </w:p>
          <w:p>
            <w:pPr>
              <w:spacing w:before="0" w:after="0" w:line="260" w:lineRule="exact"/>
            </w:pPr>
            <w:r>
              <w:rPr>
                <w:rFonts w:ascii="Consolas" w:hAnsi="Consolas" w:cs="Consolas" w:eastAsia="Consolas"/>
                <w:b w:val="0"/>
                <w:color w:val="141413"/>
                <w:sz w:val="19"/>
              </w:rPr>
              <w:t>│  - Streams events ⇄ A2A working/thought/result │</w:t>
            </w:r>
          </w:p>
          <w:p>
            <w:pPr>
              <w:spacing w:before="0" w:after="0" w:line="260" w:lineRule="exact"/>
            </w:pPr>
            <w:r>
              <w:rPr>
                <w:rFonts w:ascii="Consolas" w:hAnsi="Consolas" w:cs="Consolas" w:eastAsia="Consolas"/>
                <w:b w:val="0"/>
                <w:color w:val="141413"/>
                <w:sz w:val="19"/>
              </w:rPr>
              <w:t>└────────────────┬───────────────────────────────┘</w:t>
            </w:r>
          </w:p>
          <w:p>
            <w:pPr>
              <w:spacing w:before="0" w:after="0" w:line="260" w:lineRule="exact"/>
            </w:pPr>
            <w:r>
              <w:rPr>
                <w:rFonts w:ascii="Consolas" w:hAnsi="Consolas" w:cs="Consolas" w:eastAsia="Consolas"/>
                <w:b w:val="0"/>
                <w:color w:val="141413"/>
                <w:sz w:val="19"/>
              </w:rPr>
              <w:t xml:space="preserve">                 │ (via internal LB, X-Sandbox-* headers)</w:t>
            </w:r>
          </w:p>
          <w:p>
            <w:pPr>
              <w:spacing w:before="0" w:after="0" w:line="260" w:lineRule="exact"/>
            </w:pPr>
            <w:r>
              <w:rPr>
                <w:rFonts w:ascii="Consolas" w:hAnsi="Consolas" w:cs="Consolas" w:eastAsia="Consolas"/>
                <w:b w:val="0"/>
                <w:color w:val="141413"/>
                <w:sz w:val="19"/>
              </w:rPr>
              <w:t xml:space="preserve">                 ▼</w:t>
            </w:r>
          </w:p>
          <w:p>
            <w:pPr>
              <w:spacing w:before="0" w:after="0" w:line="260" w:lineRule="exact"/>
            </w:pPr>
            <w:r>
              <w:rPr>
                <w:rFonts w:ascii="Consolas" w:hAnsi="Consolas" w:cs="Consolas" w:eastAsia="Consolas"/>
                <w:b w:val="0"/>
                <w:color w:val="141413"/>
                <w:sz w:val="19"/>
              </w:rPr>
              <w:t>┌────────────────────────────────────────────────┐</w:t>
            </w:r>
          </w:p>
          <w:p>
            <w:pPr>
              <w:spacing w:before="0" w:after="0" w:line="260" w:lineRule="exact"/>
            </w:pPr>
            <w:r>
              <w:rPr>
                <w:rFonts w:ascii="Consolas" w:hAnsi="Consolas" w:cs="Consolas" w:eastAsia="Consolas"/>
                <w:b w:val="0"/>
                <w:color w:val="141413"/>
                <w:sz w:val="19"/>
              </w:rPr>
              <w:t>│  cc-backend  (GKE Agent Sandbox, per-user pod) │</w:t>
            </w:r>
          </w:p>
          <w:p>
            <w:pPr>
              <w:spacing w:before="0" w:after="0" w:line="260" w:lineRule="exact"/>
            </w:pPr>
            <w:r>
              <w:rPr>
                <w:rFonts w:ascii="Consolas" w:hAnsi="Consolas" w:cs="Consolas" w:eastAsia="Consolas"/>
                <w:b w:val="0"/>
                <w:color w:val="141413"/>
                <w:sz w:val="19"/>
              </w:rPr>
              <w:t>│  - gVisor-isolated, default-deny networking    │</w:t>
            </w:r>
          </w:p>
          <w:p>
            <w:pPr>
              <w:spacing w:before="0" w:after="0" w:line="260" w:lineRule="exact"/>
            </w:pPr>
            <w:r>
              <w:rPr>
                <w:rFonts w:ascii="Consolas" w:hAnsi="Consolas" w:cs="Consolas" w:eastAsia="Consolas"/>
                <w:b w:val="0"/>
                <w:color w:val="141413"/>
                <w:sz w:val="19"/>
              </w:rPr>
              <w:t>│  - /workspace = 20Gi ephemeral, noexec         │</w:t>
            </w:r>
          </w:p>
          <w:p>
            <w:pPr>
              <w:spacing w:before="0" w:after="0" w:line="260" w:lineRule="exact"/>
            </w:pPr>
            <w:r>
              <w:rPr>
                <w:rFonts w:ascii="Consolas" w:hAnsi="Consolas" w:cs="Consolas" w:eastAsia="Consolas"/>
                <w:b w:val="0"/>
                <w:color w:val="141413"/>
                <w:sz w:val="19"/>
              </w:rPr>
              <w:t>│  - ADK agent (Python) — the orchestrator       │</w:t>
            </w:r>
          </w:p>
          <w:p>
            <w:pPr>
              <w:spacing w:before="0" w:after="0" w:line="260" w:lineRule="exact"/>
            </w:pPr>
            <w:r>
              <w:rPr>
                <w:rFonts w:ascii="Consolas" w:hAnsi="Consolas" w:cs="Consolas" w:eastAsia="Consolas"/>
                <w:b w:val="0"/>
                <w:color w:val="141413"/>
                <w:sz w:val="19"/>
              </w:rPr>
              <w:t>│      ├── claude_code tool (drives CLI subproc) │</w:t>
            </w:r>
          </w:p>
          <w:p>
            <w:pPr>
              <w:spacing w:before="0" w:after="0" w:line="260" w:lineRule="exact"/>
            </w:pPr>
            <w:r>
              <w:rPr>
                <w:rFonts w:ascii="Consolas" w:hAnsi="Consolas" w:cs="Consolas" w:eastAsia="Consolas"/>
                <w:b w:val="0"/>
                <w:color w:val="141413"/>
                <w:sz w:val="19"/>
              </w:rPr>
              <w:t>│      ├── workspace tools (list/read/move/del)  │</w:t>
            </w:r>
          </w:p>
          <w:p>
            <w:pPr>
              <w:spacing w:before="0" w:after="0" w:line="260" w:lineRule="exact"/>
            </w:pPr>
            <w:r>
              <w:rPr>
                <w:rFonts w:ascii="Consolas" w:hAnsi="Consolas" w:cs="Consolas" w:eastAsia="Consolas"/>
                <w:b w:val="0"/>
                <w:color w:val="141413"/>
                <w:sz w:val="19"/>
              </w:rPr>
              <w:t>│      ├── memory tools (remember/recall)        │</w:t>
            </w:r>
          </w:p>
          <w:p>
            <w:pPr>
              <w:spacing w:before="0" w:after="0" w:line="260" w:lineRule="exact"/>
            </w:pPr>
            <w:r>
              <w:rPr>
                <w:rFonts w:ascii="Consolas" w:hAnsi="Consolas" w:cs="Consolas" w:eastAsia="Consolas"/>
                <w:b w:val="0"/>
                <w:color w:val="141413"/>
                <w:sz w:val="19"/>
              </w:rPr>
              <w:t>│      └── emit_artifact tool                    │</w:t>
            </w:r>
          </w:p>
          <w:p>
            <w:pPr>
              <w:spacing w:before="0" w:after="0" w:line="260" w:lineRule="exact"/>
            </w:pPr>
            <w:r>
              <w:rPr>
                <w:rFonts w:ascii="Consolas" w:hAnsi="Consolas" w:cs="Consolas" w:eastAsia="Consolas"/>
                <w:b w:val="0"/>
                <w:color w:val="141413"/>
                <w:sz w:val="19"/>
              </w:rPr>
              <w:t>│  - One ADK Session per A2A context_id          │</w:t>
            </w:r>
          </w:p>
          <w:p>
            <w:pPr>
              <w:spacing w:before="0" w:after="0" w:line="260" w:lineRule="exact"/>
            </w:pPr>
            <w:r>
              <w:rPr>
                <w:rFonts w:ascii="Consolas" w:hAnsi="Consolas" w:cs="Consolas" w:eastAsia="Consolas"/>
                <w:b w:val="0"/>
                <w:color w:val="141413"/>
                <w:sz w:val="19"/>
              </w:rPr>
              <w:t>│  - Park/restore /workspace to GCS              │</w:t>
            </w:r>
          </w:p>
          <w:p>
            <w:pPr>
              <w:spacing w:before="0" w:after="0" w:line="260" w:lineRule="exact"/>
            </w:pPr>
            <w:r>
              <w:rPr>
                <w:rFonts w:ascii="Consolas" w:hAnsi="Consolas" w:cs="Consolas" w:eastAsia="Consolas"/>
                <w:b w:val="0"/>
                <w:color w:val="141413"/>
                <w:sz w:val="19"/>
              </w:rPr>
              <w:t>└────────────────────────────────────────────────┘</w:t>
            </w:r>
          </w:p>
        </w:tc>
      </w:tr>
    </w:tbl>
    <w:p>
      <w:pPr>
        <w:spacing w:before="80" w:after="80"/>
      </w:pPr>
    </w:p>
    <w:p>
      <w:pPr>
        <w:spacing w:before="0" w:after="160" w:line="320" w:lineRule="exact"/>
      </w:pPr>
      <w:r>
        <w:rPr>
          <w:rFonts w:ascii="Calibri" w:hAnsi="Calibri" w:cs="Calibri" w:eastAsia="Calibri"/>
          <w:b w:val="0"/>
          <w:color w:val="202124"/>
          <w:sz w:val="22"/>
        </w:rPr>
        <w:t>Each A2A request from Gemini Enterprise carries an Authorization header containing a Google access token minted on behalf of the end user. The bridge resolves the token through oauth2.googleapis.com/tokeninfo, extracts the user's email or subject identifier, hashes it to produce a short user_key, and uses that key as the suffix for the SandboxClaim resource it gets-or-creates against the GKE Agent Sandbox controller. The hashing ensures user PII does not appear in K8s resource names or logs.</w:t>
      </w:r>
    </w:p>
    <w:p>
      <w:pPr>
        <w:spacing w:before="280" w:after="120" w:line="360" w:lineRule="exact"/>
      </w:pPr>
      <w:r>
        <w:rPr>
          <w:rFonts w:ascii="Calibri" w:hAnsi="Calibri" w:cs="Calibri" w:eastAsia="Calibri"/>
          <w:b/>
          <w:color w:val="141413"/>
          <w:sz w:val="28"/>
        </w:rPr>
        <w:t>3.2  Identity and trust flow</w:t>
      </w:r>
    </w:p>
    <w:p>
      <w:pPr>
        <w:spacing w:before="0" w:after="160" w:line="320" w:lineRule="exact"/>
      </w:pPr>
      <w:r>
        <w:rPr>
          <w:rFonts w:ascii="Calibri" w:hAnsi="Calibri" w:cs="Calibri" w:eastAsia="Calibri"/>
          <w:b w:val="0"/>
          <w:color w:val="202124"/>
          <w:sz w:val="22"/>
        </w:rPr>
        <w:t>Identity flows top-down through the system and is checked or downgraded at each boundary. Gemini Enterprise mints the user OAuth token and routes the A2A request to the bridge. The bridge resolves the token (one round-trip to tokeninfo, cached per user for the duration of the bridge instance) and computes user_key. The bridge does not pass the user's OAuth token to the backend; instead, it mints two derived credentials. First, a service-to-service identity token for the cc-backend pod (so the pod can verify the request came from the trusted bridge). Second, a downscoped STS token, scoped via Credential Access Boundary CEL to users/&lt;user_key&gt;/ inside the workspace bucket, that the backend uses for any GCS access.</w:t>
      </w:r>
    </w:p>
    <w:tbl>
      <w:tblPr>
        <w:tblW w:type="auto" w:w="0"/>
        <w:tblLayout w:type="fixed"/>
        <w:tblLook w:firstColumn="1" w:firstRow="1" w:lastColumn="0" w:lastRow="0" w:noHBand="0" w:noVBand="1" w:val="04A0"/>
        <w:tblW w:w="9360" w:type="dxa"/>
        <w:tblBorders>
          <w:top w:val="nil"/>
          <w:left w:val="nil"/>
          <w:bottom w:val="nil"/>
          <w:right w:val="nil"/>
          <w:insideH w:val="nil"/>
          <w:insideV w:val="nil"/>
        </w:tblBorders>
      </w:tblPr>
      <w:tblGrid>
        <w:gridCol w:w="9648"/>
      </w:tblGrid>
      <w:tr>
        <w:tc>
          <w:tcPr>
            <w:tcW w:w="9360" w:type="dxa"/>
            <w:shd w:val="clear" w:color="auto" w:fill="FBE9DF"/>
            <w:tcMar>
              <w:top w:w="172" w:type="dxa"/>
              <w:left w:w="288" w:type="dxa"/>
              <w:bottom w:w="172" w:type="dxa"/>
              <w:right w:w="288" w:type="dxa"/>
            </w:tcMar>
            <w:tcBorders>
              <w:left w:val="single" w:sz="24" w:color="D97757"/>
              <w:top w:val="nil"/>
              <w:right w:val="nil"/>
              <w:bottom w:val="nil"/>
            </w:tcBorders>
          </w:tcPr>
          <w:p>
            <w:pPr>
              <w:spacing w:before="0" w:after="0" w:line="320" w:lineRule="exact"/>
            </w:pPr>
            <w:r>
              <w:rPr>
                <w:rFonts w:ascii="Calibri" w:hAnsi="Calibri" w:cs="Calibri" w:eastAsia="Calibri"/>
                <w:b/>
                <w:color w:val="D97757"/>
                <w:sz w:val="20"/>
                <w:spacing w:val="24"/>
              </w:rPr>
              <w:t xml:space="preserve">INVARIANT  </w:t>
            </w:r>
            <w:r>
              <w:rPr>
                <w:rFonts w:ascii="Calibri" w:hAnsi="Calibri" w:cs="Calibri" w:eastAsia="Calibri"/>
                <w:b w:val="0"/>
                <w:color w:val="202124"/>
                <w:sz w:val="21"/>
              </w:rPr>
              <w:t>The backend pod's service account has zero IAM on the workspace bucket. Every GCS operation the backend performs uses the downscoped STS token minted by the bridge. If the bridge stops minting that token, the backend cannot reach GCS at all. This is the load-bearing isolation guarantee and the property tested by the negative test.</w:t>
            </w:r>
          </w:p>
        </w:tc>
      </w:tr>
    </w:tbl>
    <w:p>
      <w:pPr>
        <w:spacing w:before="80" w:after="80"/>
      </w:pPr>
    </w:p>
    <w:p>
      <w:pPr>
        <w:spacing w:before="0" w:after="160" w:line="320" w:lineRule="exact"/>
      </w:pPr>
      <w:r>
        <w:rPr>
          <w:rFonts w:ascii="Calibri" w:hAnsi="Calibri" w:cs="Calibri" w:eastAsia="Calibri"/>
          <w:b w:val="0"/>
          <w:color w:val="202124"/>
          <w:sz w:val="22"/>
        </w:rPr>
        <w:t>Inside the pod, the ADK orchestrator decides which tool to run for a given user turn. When it invokes the Claude Code subprocess, it passes /workspace as the working directory and the downscoped credentials as environment. The Claude Code CLI itself does not authenticate to GCS directly; anything it writes goes to /workspace, and the orchestrator's emit_artifact tool is responsible for moving files from /workspace to GCS or for synthesizing a signed URL.</w:t>
      </w:r>
    </w:p>
    <w:p>
      <w:pPr>
        <w:spacing w:before="280" w:after="120" w:line="360" w:lineRule="exact"/>
      </w:pPr>
      <w:r>
        <w:rPr>
          <w:rFonts w:ascii="Calibri" w:hAnsi="Calibri" w:cs="Calibri" w:eastAsia="Calibri"/>
          <w:b/>
          <w:color w:val="141413"/>
          <w:sz w:val="28"/>
        </w:rPr>
        <w:t>3.3  Component map and responsibilities</w:t>
      </w:r>
    </w:p>
    <w:tbl>
      <w:tblPr>
        <w:tblW w:type="auto" w:w="0"/>
        <w:tblLayout w:type="fixed"/>
        <w:tblLook w:firstColumn="1" w:firstRow="1" w:lastColumn="0" w:lastRow="0" w:noHBand="0" w:noVBand="1" w:val="04A0"/>
        <w:tblW w:w="9360" w:type="dxa"/>
        <w:tblBorders>
          <w:top w:val="single" w:sz="4" w:color="F1F3F4"/>
          <w:left w:val="single" w:sz="4" w:color="F1F3F4"/>
          <w:bottom w:val="single" w:sz="4" w:color="F1F3F4"/>
          <w:right w:val="single" w:sz="4" w:color="F1F3F4"/>
          <w:insideH w:val="single" w:sz="4" w:color="F1F3F4"/>
          <w:insideV w:val="single" w:sz="4" w:color="F1F3F4"/>
        </w:tblBorders>
      </w:tblPr>
      <w:tblGrid>
        <w:gridCol w:w="3216"/>
        <w:gridCol w:w="3216"/>
        <w:gridCol w:w="3216"/>
      </w:tblGrid>
      <w:tr>
        <w:tc>
          <w:tcPr>
            <w:tcW w:w="2448"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Component</w:t>
            </w:r>
          </w:p>
        </w:tc>
        <w:tc>
          <w:tcPr>
            <w:tcW w:w="2880"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Where it runs</w:t>
            </w:r>
          </w:p>
        </w:tc>
        <w:tc>
          <w:tcPr>
            <w:tcW w:w="4464"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Owns</w:t>
            </w:r>
          </w:p>
        </w:tc>
      </w:tr>
      <w:tr>
        <w:tc>
          <w:tcPr>
            <w:tcW w:w="24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Gemini Enterprise UI</w:t>
            </w:r>
          </w:p>
        </w:tc>
        <w:tc>
          <w:tcPr>
            <w:tcW w:w="288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Customer's GE tenant</w:t>
            </w:r>
          </w:p>
        </w:tc>
        <w:tc>
          <w:tcPr>
            <w:tcW w:w="446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User chat surface, identity, agent gallery</w:t>
            </w:r>
          </w:p>
        </w:tc>
      </w:tr>
      <w:tr>
        <w:tc>
          <w:tcPr>
            <w:tcW w:w="244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Discovery Engine</w:t>
            </w:r>
          </w:p>
        </w:tc>
        <w:tc>
          <w:tcPr>
            <w:tcW w:w="288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Customer's GE tenant</w:t>
            </w:r>
          </w:p>
        </w:tc>
        <w:tc>
          <w:tcPr>
            <w:tcW w:w="4464"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Agent card lookup, A2A request routing</w:t>
            </w:r>
          </w:p>
        </w:tc>
      </w:tr>
      <w:tr>
        <w:tc>
          <w:tcPr>
            <w:tcW w:w="24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cc-a2a-bridge</w:t>
            </w:r>
          </w:p>
        </w:tc>
        <w:tc>
          <w:tcPr>
            <w:tcW w:w="288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Cloud Run, customer project, us-central1</w:t>
            </w:r>
          </w:p>
        </w:tc>
        <w:tc>
          <w:tcPr>
            <w:tcW w:w="446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A2A protocol adapter, token resolution, SandboxClaim lifecycle, signed-URL minting</w:t>
            </w:r>
          </w:p>
        </w:tc>
      </w:tr>
      <w:tr>
        <w:tc>
          <w:tcPr>
            <w:tcW w:w="244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sandbox-router</w:t>
            </w:r>
          </w:p>
        </w:tc>
        <w:tc>
          <w:tcPr>
            <w:tcW w:w="288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GKE, in-cluster, cc-sandbox namespace</w:t>
            </w:r>
          </w:p>
        </w:tc>
        <w:tc>
          <w:tcPr>
            <w:tcW w:w="4464"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X-Sandbox-* header routing to per-user pod IPs</w:t>
            </w:r>
          </w:p>
        </w:tc>
      </w:tr>
      <w:tr>
        <w:tc>
          <w:tcPr>
            <w:tcW w:w="24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cc-backend (per-user pod)</w:t>
            </w:r>
          </w:p>
        </w:tc>
        <w:tc>
          <w:tcPr>
            <w:tcW w:w="288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GKE Agent Sandbox, gVisor runtime</w:t>
            </w:r>
          </w:p>
        </w:tc>
        <w:tc>
          <w:tcPr>
            <w:tcW w:w="446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ADK orchestrator, Claude Code subprocess, /workspace, park/restore</w:t>
            </w:r>
          </w:p>
        </w:tc>
      </w:tr>
      <w:tr>
        <w:tc>
          <w:tcPr>
            <w:tcW w:w="244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Workspace bucket</w:t>
            </w:r>
          </w:p>
        </w:tc>
        <w:tc>
          <w:tcPr>
            <w:tcW w:w="288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GCS, customer project</w:t>
            </w:r>
          </w:p>
        </w:tc>
        <w:tc>
          <w:tcPr>
            <w:tcW w:w="4464"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User workspace persistence, signed URL targets</w:t>
            </w:r>
          </w:p>
        </w:tc>
      </w:tr>
      <w:tr>
        <w:tc>
          <w:tcPr>
            <w:tcW w:w="24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Firestore (cc-on-ge database)</w:t>
            </w:r>
          </w:p>
        </w:tc>
        <w:tc>
          <w:tcPr>
            <w:tcW w:w="288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Customer project</w:t>
            </w:r>
          </w:p>
        </w:tc>
        <w:tc>
          <w:tcPr>
            <w:tcW w:w="446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ADK Sessions per context_id, long-term memory per user_key</w:t>
            </w:r>
          </w:p>
        </w:tc>
      </w:tr>
      <w:tr>
        <w:tc>
          <w:tcPr>
            <w:tcW w:w="244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Vertex AI (Claude)</w:t>
            </w:r>
          </w:p>
        </w:tc>
        <w:tc>
          <w:tcPr>
            <w:tcW w:w="288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Customer project, global endpoint</w:t>
            </w:r>
          </w:p>
        </w:tc>
        <w:tc>
          <w:tcPr>
            <w:tcW w:w="4464"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Inference for both orchestrator and Claude Code subprocess</w:t>
            </w:r>
          </w:p>
        </w:tc>
      </w:tr>
    </w:tbl>
    <w:p>
      <w:pPr>
        <w:spacing w:before="80" w:after="80"/>
      </w:pPr>
    </w:p>
    <w:p>
      <w:pPr>
        <w:spacing w:before="280" w:after="120" w:line="360" w:lineRule="exact"/>
      </w:pPr>
      <w:r>
        <w:rPr>
          <w:rFonts w:ascii="Calibri" w:hAnsi="Calibri" w:cs="Calibri" w:eastAsia="Calibri"/>
          <w:b/>
          <w:color w:val="141413"/>
          <w:sz w:val="28"/>
        </w:rPr>
        <w:t>3.4  Trust boundaries</w:t>
      </w:r>
    </w:p>
    <w:p>
      <w:pPr>
        <w:spacing w:before="0" w:after="160" w:line="320" w:lineRule="exact"/>
      </w:pPr>
      <w:r>
        <w:rPr>
          <w:rFonts w:ascii="Calibri" w:hAnsi="Calibri" w:cs="Calibri" w:eastAsia="Calibri"/>
          <w:b w:val="0"/>
          <w:color w:val="202124"/>
          <w:sz w:val="22"/>
        </w:rPr>
        <w:t>Four trust boundaries matter. The first is Gemini Enterprise to the bridge: GE authenticates as the user, the bridge trusts GE's OAuth issuer chain. The second is the bridge to the per-user pod: the bridge is the only caller the pod accepts (via Cloud Run identity tokens), and the bridge is the only entity that can claim or release a pod. The third is the per-user pod to Cloud Storage: enforced by the downscoped STS token. The fourth is the per-user pod to the rest of the internet, which is closed by a default-deny NetworkPolicy on the cc-sandbox namespace. Egress is permitted only to the Vertex AI endpoint, the internal router service, and the bridge's signing endpoint.</w:t>
      </w:r>
    </w:p>
    <w:p>
      <w:r>
        <w:br w:type="page"/>
      </w:r>
    </w:p>
    <w:p>
      <w:pPr>
        <w:spacing w:before="480" w:after="240" w:line="520" w:lineRule="exact"/>
      </w:pPr>
      <w:r>
        <w:rPr>
          <w:rFonts w:ascii="Calibri" w:hAnsi="Calibri" w:cs="Calibri" w:eastAsia="Calibri"/>
          <w:b/>
          <w:color w:val="1A73E8"/>
          <w:sz w:val="40"/>
        </w:rPr>
        <w:t>4.  Component Deep-Dives</w:t>
      </w:r>
    </w:p>
    <w:p>
      <w:pPr>
        <w:spacing w:before="280" w:after="120" w:line="360" w:lineRule="exact"/>
      </w:pPr>
      <w:r>
        <w:rPr>
          <w:rFonts w:ascii="Calibri" w:hAnsi="Calibri" w:cs="Calibri" w:eastAsia="Calibri"/>
          <w:b/>
          <w:color w:val="141413"/>
          <w:sz w:val="28"/>
        </w:rPr>
        <w:t>4.1  The A2A Bridge (cc-a2a-bridge on Cloud Run)</w:t>
      </w:r>
    </w:p>
    <w:p>
      <w:pPr>
        <w:spacing w:before="0" w:after="160" w:line="320" w:lineRule="exact"/>
      </w:pPr>
      <w:r>
        <w:rPr>
          <w:rFonts w:ascii="Calibri" w:hAnsi="Calibri" w:cs="Calibri" w:eastAsia="Calibri"/>
          <w:b w:val="0"/>
          <w:color w:val="202124"/>
          <w:sz w:val="22"/>
        </w:rPr>
        <w:t>The bridge is a small Python FastAPI service that implements the Agent-to-Agent (A2A) JSON-RPC protocol consumed by Gemini Enterprise Discovery Engine. It has no LLM logic and no per-user state; everything stateful lives in the backend pod. The bridge is deployed on Cloud Run for three reasons: it scales independently of the GKE cluster (a hot bridge does not need warm pods), it benefits from Cloud Run's built-in HTTPS termination and identity verification, and keeping it out of the cluster avoids a circular-dependency between the bridge image and the Sandbox-Template image during deploys.</w:t>
      </w:r>
    </w:p>
    <w:p>
      <w:pPr>
        <w:spacing w:before="200" w:after="80" w:line="320" w:lineRule="exact"/>
      </w:pPr>
      <w:r>
        <w:rPr>
          <w:rFonts w:ascii="Calibri" w:hAnsi="Calibri" w:cs="Calibri" w:eastAsia="Calibri"/>
          <w:b/>
          <w:color w:val="141413"/>
          <w:sz w:val="24"/>
        </w:rPr>
        <w:t>A2A protocol adapter responsibilities</w:t>
      </w:r>
    </w:p>
    <w:p>
      <w:pPr>
        <w:spacing w:before="0" w:after="160" w:line="320" w:lineRule="exact"/>
      </w:pPr>
      <w:r>
        <w:rPr>
          <w:rFonts w:ascii="Calibri" w:hAnsi="Calibri" w:cs="Calibri" w:eastAsia="Calibri"/>
          <w:b w:val="0"/>
          <w:color w:val="202124"/>
          <w:sz w:val="22"/>
        </w:rPr>
        <w:t>On every incoming request, the bridge implements the A2A verbs message/send and message/stream. For message/stream it opens an SSE upstream to the backend's /execute endpoint and translates the backend's event stream into A2A working/thought/response events. Tool calls become structured A2A artifact events; thinking blocks become collapsed thought blocks; files become A2A FileWithBytes (Path A) or text with embedded signed URLs (Path B).</w:t>
      </w:r>
    </w:p>
    <w:p>
      <w:pPr>
        <w:spacing w:before="200" w:after="80" w:line="320" w:lineRule="exact"/>
      </w:pPr>
      <w:r>
        <w:rPr>
          <w:rFonts w:ascii="Calibri" w:hAnsi="Calibri" w:cs="Calibri" w:eastAsia="Calibri"/>
          <w:b/>
          <w:color w:val="141413"/>
          <w:sz w:val="24"/>
        </w:rPr>
        <w:t>The /workspace/sign endpoint</w:t>
      </w:r>
    </w:p>
    <w:p>
      <w:pPr>
        <w:spacing w:before="0" w:after="160" w:line="320" w:lineRule="exact"/>
      </w:pPr>
      <w:r>
        <w:rPr>
          <w:rFonts w:ascii="Calibri" w:hAnsi="Calibri" w:cs="Calibri" w:eastAsia="Calibri"/>
          <w:b w:val="0"/>
          <w:color w:val="202124"/>
          <w:sz w:val="22"/>
        </w:rPr>
        <w:t>The bridge exposes an internal /workspace/sign endpoint that the backend calls when it needs to produce a downloadable URL for a file that cannot be inlined in an A2A FileWithBytes (because its MIME is not on the verified GE allowlist, or because the file exceeds 5 MB). The endpoint requires the X-Sandbox-User-Key header that the router enforces is bound to the calling pod's identity. It mints a v4 GCS signed URL with response_disposition=attachment to force download behavior in the browser.</w:t>
      </w:r>
    </w:p>
    <w:tbl>
      <w:tblPr>
        <w:tblW w:type="auto" w:w="0"/>
        <w:tblLayout w:type="fixed"/>
        <w:tblLook w:firstColumn="1" w:firstRow="1" w:lastColumn="0" w:lastRow="0" w:noHBand="0" w:noVBand="1" w:val="04A0"/>
        <w:tblW w:w="9360" w:type="dxa"/>
        <w:tblBorders>
          <w:top w:val="nil"/>
          <w:left w:val="nil"/>
          <w:bottom w:val="nil"/>
          <w:right w:val="nil"/>
          <w:insideH w:val="nil"/>
          <w:insideV w:val="nil"/>
        </w:tblBorders>
      </w:tblPr>
      <w:tblGrid>
        <w:gridCol w:w="9648"/>
      </w:tblGrid>
      <w:tr>
        <w:tc>
          <w:tcPr>
            <w:tcW w:w="9360" w:type="dxa"/>
            <w:shd w:val="clear" w:color="auto" w:fill="FBE9DF"/>
            <w:tcMar>
              <w:top w:w="172" w:type="dxa"/>
              <w:left w:w="288" w:type="dxa"/>
              <w:bottom w:w="172" w:type="dxa"/>
              <w:right w:w="288" w:type="dxa"/>
            </w:tcMar>
            <w:tcBorders>
              <w:left w:val="single" w:sz="24" w:color="D97757"/>
              <w:top w:val="nil"/>
              <w:right w:val="nil"/>
              <w:bottom w:val="nil"/>
            </w:tcBorders>
          </w:tcPr>
          <w:p>
            <w:pPr>
              <w:spacing w:before="0" w:after="0" w:line="320" w:lineRule="exact"/>
            </w:pPr>
            <w:r>
              <w:rPr>
                <w:rFonts w:ascii="Calibri" w:hAnsi="Calibri" w:cs="Calibri" w:eastAsia="Calibri"/>
                <w:b/>
                <w:color w:val="D97757"/>
                <w:sz w:val="20"/>
                <w:spacing w:val="24"/>
              </w:rPr>
              <w:t xml:space="preserve">PHASE 1 INVARIANT  </w:t>
            </w:r>
            <w:r>
              <w:rPr>
                <w:rFonts w:ascii="Calibri" w:hAnsi="Calibri" w:cs="Calibri" w:eastAsia="Calibri"/>
                <w:b w:val="0"/>
                <w:color w:val="202124"/>
                <w:sz w:val="21"/>
              </w:rPr>
              <w:t>The bridge is the only component in the system that holds GCS signing credentials. The backend pod's service account has zero IAM on the workspace bucket. This invariant is what allows the entire isolation guarantee to be checked by inspecting one component's IAM bindings — there is exactly one signing surface to audit.</w:t>
            </w:r>
          </w:p>
        </w:tc>
      </w:tr>
    </w:tbl>
    <w:p>
      <w:pPr>
        <w:spacing w:before="80" w:after="80"/>
      </w:pPr>
    </w:p>
    <w:p>
      <w:pPr>
        <w:spacing w:before="0" w:after="160" w:line="320" w:lineRule="exact"/>
      </w:pPr>
      <w:r>
        <w:rPr>
          <w:rFonts w:ascii="Calibri" w:hAnsi="Calibri" w:cs="Calibri" w:eastAsia="Calibri"/>
          <w:b w:val="0"/>
          <w:color w:val="202124"/>
          <w:sz w:val="22"/>
        </w:rPr>
        <w:t>The signing path was hardened in May 2026 by adding Content-Disposition=attachment with a filename derived from the workspace-relative path, sanitized to [A-Za-z0-9._-] to close the header-injection surface. Before that fix, signed URLs to HTML files rendered inline in the browser, and the agent had emitted right-click apology language as a workaround. The fix is documented in bridge/sign_helpers.py with a 12-case regression test suite.</w:t>
      </w:r>
    </w:p>
    <w:p>
      <w:pPr>
        <w:spacing w:before="200" w:after="80" w:line="320" w:lineRule="exact"/>
      </w:pPr>
      <w:r>
        <w:rPr>
          <w:rFonts w:ascii="Calibri" w:hAnsi="Calibri" w:cs="Calibri" w:eastAsia="Calibri"/>
          <w:b/>
          <w:color w:val="141413"/>
          <w:sz w:val="24"/>
        </w:rPr>
        <w:t>IAM model</w:t>
      </w:r>
    </w:p>
    <w:p>
      <w:pPr>
        <w:spacing w:before="0" w:after="160" w:line="320" w:lineRule="exact"/>
      </w:pPr>
      <w:r>
        <w:rPr>
          <w:rFonts w:ascii="Calibri" w:hAnsi="Calibri" w:cs="Calibri" w:eastAsia="Calibri"/>
          <w:b w:val="0"/>
          <w:color w:val="202124"/>
          <w:sz w:val="22"/>
        </w:rPr>
        <w:t>The bridge's Cloud Run service has no public invoker binding. roles/run.invoker on the bridge service is granted only to two principals: the cc-backend service account (so the pod can call /workspace/sign), and the Discovery Engine service agent for the customer project (so GE can route A2A requests to the bridge). Unauthenticated access from any other source is rejected at the Cloud Run frontend before reaching the application.</w:t>
      </w:r>
    </w:p>
    <w:p>
      <w:pPr>
        <w:spacing w:before="280" w:after="120" w:line="360" w:lineRule="exact"/>
      </w:pPr>
      <w:r>
        <w:rPr>
          <w:rFonts w:ascii="Calibri" w:hAnsi="Calibri" w:cs="Calibri" w:eastAsia="Calibri"/>
          <w:b/>
          <w:color w:val="141413"/>
          <w:sz w:val="28"/>
        </w:rPr>
        <w:t>4.2  The ADK Orchestrator (cc-backend)</w:t>
      </w:r>
    </w:p>
    <w:p>
      <w:pPr>
        <w:spacing w:before="0" w:after="160" w:line="320" w:lineRule="exact"/>
      </w:pPr>
      <w:r>
        <w:rPr>
          <w:rFonts w:ascii="Calibri" w:hAnsi="Calibri" w:cs="Calibri" w:eastAsia="Calibri"/>
          <w:b w:val="0"/>
          <w:color w:val="202124"/>
          <w:sz w:val="22"/>
        </w:rPr>
        <w:t>The orchestrator is a Google Agent Development Kit (ADK) agent — a Python object whose definition is a name, a model identifier, a tool registry, and a system prompt. It runs once per A2A context_id, with state persisted to a custom FirestoreSessionService implementation that stores the ADK event log in the cc-on-ge Firestore database under sessions/&lt;context_id&gt;. On each user turn, ADK replays the event log, asks the orchestrator to produce a response, and the orchestrator decides — via the model — which tools to call.</w:t>
      </w:r>
    </w:p>
    <w:p>
      <w:pPr>
        <w:spacing w:before="200" w:after="80" w:line="320" w:lineRule="exact"/>
      </w:pPr>
      <w:r>
        <w:rPr>
          <w:rFonts w:ascii="Calibri" w:hAnsi="Calibri" w:cs="Calibri" w:eastAsia="Calibri"/>
          <w:b/>
          <w:color w:val="141413"/>
          <w:sz w:val="24"/>
        </w:rPr>
        <w:t>Why ADK rather than raw Claude Code at the entry point</w:t>
      </w:r>
    </w:p>
    <w:p>
      <w:pPr>
        <w:spacing w:before="0" w:after="160" w:line="320" w:lineRule="exact"/>
      </w:pPr>
      <w:r>
        <w:rPr>
          <w:rFonts w:ascii="Calibri" w:hAnsi="Calibri" w:cs="Calibri" w:eastAsia="Calibri"/>
          <w:b w:val="0"/>
          <w:color w:val="202124"/>
          <w:sz w:val="22"/>
        </w:rPr>
        <w:t>ADK gives us multi-turn state, a typed tool registry with automatic JSON schema generation for function calling, and a session model that aligns naturally with A2A context_ids. Reimplementing those concerns inside Claude Code would have required intrusive changes to the harness and would have coupled the platform to Claude. The orchestrator-as-ADK choice keeps Claude Code as a clean subprocess invoked by one tool.</w:t>
      </w:r>
    </w:p>
    <w:p>
      <w:pPr>
        <w:spacing w:before="200" w:after="80" w:line="320" w:lineRule="exact"/>
      </w:pPr>
      <w:r>
        <w:rPr>
          <w:rFonts w:ascii="Calibri" w:hAnsi="Calibri" w:cs="Calibri" w:eastAsia="Calibri"/>
          <w:b/>
          <w:color w:val="141413"/>
          <w:sz w:val="24"/>
        </w:rPr>
        <w:t>The orchestrator's tool registry</w:t>
      </w:r>
    </w:p>
    <w:tbl>
      <w:tblPr>
        <w:tblW w:type="auto" w:w="0"/>
        <w:tblLayout w:type="fixed"/>
        <w:tblLook w:firstColumn="1" w:firstRow="1" w:lastColumn="0" w:lastRow="0" w:noHBand="0" w:noVBand="1" w:val="04A0"/>
        <w:tblW w:w="9360" w:type="dxa"/>
        <w:tblBorders>
          <w:top w:val="single" w:sz="4" w:color="F1F3F4"/>
          <w:left w:val="single" w:sz="4" w:color="F1F3F4"/>
          <w:bottom w:val="single" w:sz="4" w:color="F1F3F4"/>
          <w:right w:val="single" w:sz="4" w:color="F1F3F4"/>
          <w:insideH w:val="single" w:sz="4" w:color="F1F3F4"/>
          <w:insideV w:val="single" w:sz="4" w:color="F1F3F4"/>
        </w:tblBorders>
      </w:tblPr>
      <w:tblGrid>
        <w:gridCol w:w="4824"/>
        <w:gridCol w:w="4824"/>
      </w:tblGrid>
      <w:tr>
        <w:tc>
          <w:tcPr>
            <w:tcW w:w="2448"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Tool</w:t>
            </w:r>
          </w:p>
        </w:tc>
        <w:tc>
          <w:tcPr>
            <w:tcW w:w="7343"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Responsibility</w:t>
            </w:r>
          </w:p>
        </w:tc>
      </w:tr>
      <w:tr>
        <w:tc>
          <w:tcPr>
            <w:tcW w:w="24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claude_code</w:t>
            </w:r>
          </w:p>
        </w:tc>
        <w:tc>
          <w:tcPr>
            <w:tcW w:w="7343"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Invoke the Claude Code CLI as a subprocess against /workspace; stream tool-call events back to the orchestrator; return the final result text.</w:t>
            </w:r>
          </w:p>
        </w:tc>
      </w:tr>
      <w:tr>
        <w:tc>
          <w:tcPr>
            <w:tcW w:w="244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emit_artifact</w:t>
            </w:r>
          </w:p>
        </w:tc>
        <w:tc>
          <w:tcPr>
            <w:tcW w:w="7343"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Move a file from /workspace into the A2A response. Routes by MIME: allowlisted → Path A (FileWithBytes); non-allowlisted or large → Path B (signed URL).</w:t>
            </w:r>
          </w:p>
        </w:tc>
      </w:tr>
      <w:tr>
        <w:tc>
          <w:tcPr>
            <w:tcW w:w="24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list_workspace</w:t>
            </w:r>
          </w:p>
        </w:tc>
        <w:tc>
          <w:tcPr>
            <w:tcW w:w="7343"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Return a one-shot listing of /workspace contents — filenames, sizes, modification times — without invoking the Claude Code harness.</w:t>
            </w:r>
          </w:p>
        </w:tc>
      </w:tr>
      <w:tr>
        <w:tc>
          <w:tcPr>
            <w:tcW w:w="244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read_workspace_file</w:t>
            </w:r>
          </w:p>
        </w:tc>
        <w:tc>
          <w:tcPr>
            <w:tcW w:w="7343"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Read a single file from /workspace and return its content inline. Used for follow-up questions like "what was in that script you wrote?"</w:t>
            </w:r>
          </w:p>
        </w:tc>
      </w:tr>
      <w:tr>
        <w:tc>
          <w:tcPr>
            <w:tcW w:w="24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delete_workspace_file</w:t>
            </w:r>
          </w:p>
        </w:tc>
        <w:tc>
          <w:tcPr>
            <w:tcW w:w="7343"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Two-step soft delete: first call moves the file to /workspace/.trash/, second call (with confirm=True) hard-deletes. Prevents single-fat-finger data loss.</w:t>
            </w:r>
          </w:p>
        </w:tc>
      </w:tr>
      <w:tr>
        <w:tc>
          <w:tcPr>
            <w:tcW w:w="244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move_workspace_file</w:t>
            </w:r>
          </w:p>
        </w:tc>
        <w:tc>
          <w:tcPr>
            <w:tcW w:w="7343"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Rename or relocate a file within /workspace, including into and out of .trash for undo.</w:t>
            </w:r>
          </w:p>
        </w:tc>
      </w:tr>
      <w:tr>
        <w:tc>
          <w:tcPr>
            <w:tcW w:w="24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get_download_url</w:t>
            </w:r>
          </w:p>
        </w:tc>
        <w:tc>
          <w:tcPr>
            <w:tcW w:w="7343"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Produce a Path B signed URL for an existing file in /workspace, without re-emitting it as an artifact.</w:t>
            </w:r>
          </w:p>
        </w:tc>
      </w:tr>
      <w:tr>
        <w:tc>
          <w:tcPr>
            <w:tcW w:w="244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remember</w:t>
            </w:r>
          </w:p>
        </w:tc>
        <w:tc>
          <w:tcPr>
            <w:tcW w:w="7343"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Write a fact to long-term memory under memory/&lt;user_key&gt;/facts/. Used for cross-thread preferences and project context.</w:t>
            </w:r>
          </w:p>
        </w:tc>
      </w:tr>
      <w:tr>
        <w:tc>
          <w:tcPr>
            <w:tcW w:w="24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recall</w:t>
            </w:r>
          </w:p>
        </w:tc>
        <w:tc>
          <w:tcPr>
            <w:tcW w:w="7343"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Read facts from long-term memory. Invoked at the start of each turn so the orchestrator can ground the response in what the user has previously told it.</w:t>
            </w:r>
          </w:p>
        </w:tc>
      </w:tr>
    </w:tbl>
    <w:p>
      <w:pPr>
        <w:spacing w:before="80" w:after="80"/>
      </w:pPr>
    </w:p>
    <w:p>
      <w:pPr>
        <w:spacing w:before="200" w:after="80" w:line="320" w:lineRule="exact"/>
      </w:pPr>
      <w:r>
        <w:rPr>
          <w:rFonts w:ascii="Calibri" w:hAnsi="Calibri" w:cs="Calibri" w:eastAsia="Calibri"/>
          <w:b/>
          <w:color w:val="141413"/>
          <w:sz w:val="24"/>
        </w:rPr>
        <w:t>System prompt structure</w:t>
      </w:r>
    </w:p>
    <w:p>
      <w:pPr>
        <w:spacing w:before="0" w:after="160" w:line="320" w:lineRule="exact"/>
      </w:pPr>
      <w:r>
        <w:rPr>
          <w:rFonts w:ascii="Calibri" w:hAnsi="Calibri" w:cs="Calibri" w:eastAsia="Calibri"/>
          <w:b w:val="0"/>
          <w:color w:val="202124"/>
          <w:sz w:val="22"/>
        </w:rPr>
        <w:t>The orchestrator's system prompt teaches it three things in order: that recall is the first action of every turn so long-term context lands in the conversation before the model decides what to do; that the workspace tools should be preferred over claude_code for any question about existing files; and that emit_artifact must be called in the same turn as the file write, with Path A and Path B templates supplied for how to phrase the response. The prompt explicitly suppresses workaround language ("right-click and save link as", "your browser may preview it as text") that emerged as a model artifact when the Content-Disposition fix was outstanding.</w:t>
      </w:r>
    </w:p>
    <w:p>
      <w:pPr>
        <w:spacing w:before="200" w:after="80" w:line="320" w:lineRule="exact"/>
      </w:pPr>
      <w:r>
        <w:rPr>
          <w:rFonts w:ascii="Calibri" w:hAnsi="Calibri" w:cs="Calibri" w:eastAsia="Calibri"/>
          <w:b/>
          <w:color w:val="141413"/>
          <w:sz w:val="24"/>
        </w:rPr>
        <w:t>Multi-turn behavior within a pod</w:t>
      </w:r>
    </w:p>
    <w:p>
      <w:pPr>
        <w:spacing w:before="0" w:after="160" w:line="320" w:lineRule="exact"/>
      </w:pPr>
      <w:r>
        <w:rPr>
          <w:rFonts w:ascii="Calibri" w:hAnsi="Calibri" w:cs="Calibri" w:eastAsia="Calibri"/>
          <w:b w:val="0"/>
          <w:color w:val="202124"/>
          <w:sz w:val="22"/>
        </w:rPr>
        <w:t>An ADK Session corresponds to one Gemini Enterprise context_id, which corresponds to one chat thread. The Session's event log is persisted to Firestore on every tool call so that a pod restart mid-session resumes correctly. A second user turn on the same context_id lands on the same pod (the SandboxClaim is sticky) and replays the prior session state. A user with multiple open GE threads has multiple Sessions in their pod, all sharing the same workspace.</w:t>
      </w:r>
    </w:p>
    <w:p>
      <w:pPr>
        <w:spacing w:before="280" w:after="120" w:line="360" w:lineRule="exact"/>
      </w:pPr>
      <w:r>
        <w:rPr>
          <w:rFonts w:ascii="Calibri" w:hAnsi="Calibri" w:cs="Calibri" w:eastAsia="Calibri"/>
          <w:b/>
          <w:color w:val="141413"/>
          <w:sz w:val="28"/>
        </w:rPr>
        <w:t>4.3  Claude Code as a Tool</w:t>
      </w:r>
    </w:p>
    <w:p>
      <w:pPr>
        <w:spacing w:before="0" w:after="160" w:line="320" w:lineRule="exact"/>
      </w:pPr>
      <w:r>
        <w:rPr>
          <w:rFonts w:ascii="Calibri" w:hAnsi="Calibri" w:cs="Calibri" w:eastAsia="Calibri"/>
          <w:b w:val="0"/>
          <w:color w:val="202124"/>
          <w:sz w:val="22"/>
        </w:rPr>
        <w:t>The claude_code tool wraps the claude-agent-sdk Python client, which is the supported way to drive the Claude Code CLI from Python. The tool accepts a prompt argument and an optional working_directory (defaulted to /workspace), spawns the CLI as a subprocess with the appropriate environment, and streams tool-call events back to the orchestrator as they arrive. The orchestrator surfaces those events to the A2A bridge for rendering in the Gemini Enterprise working pane.</w:t>
      </w:r>
    </w:p>
    <w:p>
      <w:pPr>
        <w:spacing w:before="200" w:after="80" w:line="320" w:lineRule="exact"/>
      </w:pPr>
      <w:r>
        <w:rPr>
          <w:rFonts w:ascii="Calibri" w:hAnsi="Calibri" w:cs="Calibri" w:eastAsia="Calibri"/>
          <w:b/>
          <w:color w:val="141413"/>
          <w:sz w:val="24"/>
        </w:rPr>
        <w:t>bypassPermissions mode and IS_SANDBOX=1</w:t>
      </w:r>
    </w:p>
    <w:p>
      <w:pPr>
        <w:spacing w:before="0" w:after="160" w:line="320" w:lineRule="exact"/>
      </w:pPr>
      <w:r>
        <w:rPr>
          <w:rFonts w:ascii="Calibri" w:hAnsi="Calibri" w:cs="Calibri" w:eastAsia="Calibri"/>
          <w:b w:val="0"/>
          <w:color w:val="202124"/>
          <w:sz w:val="22"/>
        </w:rPr>
        <w:t>The Claude Code CLI normally prompts for permission on destructive operations. Inside the per-user sandbox, permission prompts have no useful UI surface — they would block the agent on a question the user cannot answer from the chat thread. The pod sets IS_SANDBOX=1 (signaling to the harness that it is running in an isolated environment with no shared state) and invokes the CLI with --dangerously-skip-permissions. The blast radius is bounded by the sandbox itself: gVisor, default-deny network, /workspace mounted noexec, no host access. Anything destructive Claude Code does is destructive only to that single user's ephemeral workspace.</w:t>
      </w:r>
    </w:p>
    <w:p>
      <w:pPr>
        <w:spacing w:before="200" w:after="80" w:line="320" w:lineRule="exact"/>
      </w:pPr>
      <w:r>
        <w:rPr>
          <w:rFonts w:ascii="Calibri" w:hAnsi="Calibri" w:cs="Calibri" w:eastAsia="Calibri"/>
          <w:b/>
          <w:color w:val="141413"/>
          <w:sz w:val="24"/>
        </w:rPr>
        <w:t>Allowed tools</w:t>
      </w:r>
    </w:p>
    <w:p>
      <w:pPr>
        <w:spacing w:before="0" w:after="160" w:line="320" w:lineRule="exact"/>
      </w:pPr>
      <w:r>
        <w:rPr>
          <w:rFonts w:ascii="Calibri" w:hAnsi="Calibri" w:cs="Calibri" w:eastAsia="Calibri"/>
          <w:b w:val="0"/>
          <w:color w:val="202124"/>
          <w:sz w:val="22"/>
        </w:rPr>
        <w:t>The tool exposes the Claude Code CLI with Read, Write, Edit, Bash, Grep, and Glob enabled. The MCP and Agent tools are disabled — the orchestrator is responsible for agent-shaped behavior, and MCP server registration would create a side-channel through which a harness invocation could affect another user. WebFetch and WebSearch are disabled because the egress NetworkPolicy already closes the public-internet surface and enabling them would just produce failing tool calls.</w:t>
      </w:r>
    </w:p>
    <w:p>
      <w:pPr>
        <w:spacing w:before="200" w:after="80" w:line="320" w:lineRule="exact"/>
      </w:pPr>
      <w:r>
        <w:rPr>
          <w:rFonts w:ascii="Calibri" w:hAnsi="Calibri" w:cs="Calibri" w:eastAsia="Calibri"/>
          <w:b/>
          <w:color w:val="141413"/>
          <w:sz w:val="24"/>
        </w:rPr>
        <w:t>Per-turn subprocess isolation</w:t>
      </w:r>
    </w:p>
    <w:p>
      <w:pPr>
        <w:spacing w:before="0" w:after="160" w:line="320" w:lineRule="exact"/>
      </w:pPr>
      <w:r>
        <w:rPr>
          <w:rFonts w:ascii="Calibri" w:hAnsi="Calibri" w:cs="Calibri" w:eastAsia="Calibri"/>
          <w:b w:val="0"/>
          <w:color w:val="202124"/>
          <w:sz w:val="22"/>
        </w:rPr>
        <w:t>Each invocation of the claude_code tool is a fresh subprocess. The subprocess inherits /workspace and the environment, but no in-memory state from prior runs. This is intentional: it means the orchestrator's view of the world (the ADK Session, the memory facts, the workspace listing) is the single source of truth for what the agent knows. The harness is stateless; the orchestrator is stateful.</w:t>
      </w:r>
    </w:p>
    <w:p>
      <w:pPr>
        <w:spacing w:before="280" w:after="120" w:line="360" w:lineRule="exact"/>
      </w:pPr>
      <w:r>
        <w:rPr>
          <w:rFonts w:ascii="Calibri" w:hAnsi="Calibri" w:cs="Calibri" w:eastAsia="Calibri"/>
          <w:b/>
          <w:color w:val="141413"/>
          <w:sz w:val="28"/>
        </w:rPr>
        <w:t>4.4  GKE Agent Sandbox (per-user pod)</w:t>
      </w:r>
    </w:p>
    <w:p>
      <w:pPr>
        <w:spacing w:before="0" w:after="160" w:line="320" w:lineRule="exact"/>
      </w:pPr>
      <w:r>
        <w:rPr>
          <w:rFonts w:ascii="Calibri" w:hAnsi="Calibri" w:cs="Calibri" w:eastAsia="Calibri"/>
          <w:b w:val="0"/>
          <w:color w:val="202124"/>
          <w:sz w:val="22"/>
        </w:rPr>
        <w:t>The pod runs under the GKE Agent Sandbox addon (extensions.agents.x-k8s.io API group), which gives us a first-class CRD model for per-user-pod lifecycle. A SandboxTemplate names the pod spec; a SandboxClaim, created by the bridge with name cc-u-&lt;user_key&gt;, instantiates a pod from that template if one does not already exist. A WarmPool resource keeps a small set of templated pods pre-spawned and ready to be bound to incoming claims, so the first turn for a returning user feels instant rather than spending 8-15 seconds on cold container start.</w:t>
      </w:r>
    </w:p>
    <w:p>
      <w:pPr>
        <w:spacing w:before="200" w:after="80" w:line="320" w:lineRule="exact"/>
      </w:pPr>
      <w:r>
        <w:rPr>
          <w:rFonts w:ascii="Calibri" w:hAnsi="Calibri" w:cs="Calibri" w:eastAsia="Calibri"/>
          <w:b/>
          <w:color w:val="141413"/>
          <w:sz w:val="24"/>
        </w:rPr>
        <w:t>Sandbox isolation primitives</w:t>
      </w:r>
    </w:p>
    <w:p>
      <w:pPr>
        <w:spacing w:before="0" w:after="160" w:line="320" w:lineRule="exact"/>
      </w:pPr>
      <w:r>
        <w:rPr>
          <w:rFonts w:ascii="Calibri" w:hAnsi="Calibri" w:cs="Calibri" w:eastAsia="Calibri"/>
          <w:b w:val="0"/>
          <w:color w:val="202124"/>
          <w:sz w:val="22"/>
        </w:rPr>
        <w:t>Three primitives stack to produce the isolation guarantee. First, runtimeClassName: gvisor — the pod's containers execute under gVisor's user-space kernel, which interposes on syscalls and blocks the classes of escape historically used in container escapes. Second, /workspace is an ephemeral PVC mounted with noexec — files written to /workspace cannot be executed directly, which prevents a compromised harness from staging a binary in the workspace and running it. Third, the cc-sandbox namespace has a default-deny NetworkPolicy plus explicit allow rules for the router service and the Vertex endpoint; sandbox-to-sandbox network traffic is closed.</w:t>
      </w:r>
    </w:p>
    <w:p>
      <w:pPr>
        <w:spacing w:before="200" w:after="80" w:line="320" w:lineRule="exact"/>
      </w:pPr>
      <w:r>
        <w:rPr>
          <w:rFonts w:ascii="Calibri" w:hAnsi="Calibri" w:cs="Calibri" w:eastAsia="Calibri"/>
          <w:b/>
          <w:color w:val="141413"/>
          <w:sz w:val="24"/>
        </w:rPr>
        <w:t>Resource limits and lifecycle</w:t>
      </w:r>
    </w:p>
    <w:p>
      <w:pPr>
        <w:spacing w:before="0" w:after="160" w:line="320" w:lineRule="exact"/>
      </w:pPr>
      <w:r>
        <w:rPr>
          <w:rFonts w:ascii="Calibri" w:hAnsi="Calibri" w:cs="Calibri" w:eastAsia="Calibri"/>
          <w:b w:val="0"/>
          <w:color w:val="202124"/>
          <w:sz w:val="22"/>
        </w:rPr>
        <w:t>Each pod requests 2 vCPU and 4Gi memory, with the 20Gi /workspace PVC sized to accommodate the largest expected artifact bundle. Pods are released by the bridge 30 minutes after the most recent A2A request, on the assumption that idle workspaces should not keep node capacity reserved. The sweeper job in the bridge iterates active SandboxClaims every 5 minutes and triggers park-and-release for any whose last-activity timestamp exceeds the idle threshold.</w:t>
      </w:r>
    </w:p>
    <w:p>
      <w:pPr>
        <w:spacing w:before="200" w:after="80" w:line="320" w:lineRule="exact"/>
      </w:pPr>
      <w:r>
        <w:rPr>
          <w:rFonts w:ascii="Calibri" w:hAnsi="Calibri" w:cs="Calibri" w:eastAsia="Calibri"/>
          <w:b/>
          <w:color w:val="141413"/>
          <w:sz w:val="24"/>
        </w:rPr>
        <w:t>The warm pool</w:t>
      </w:r>
    </w:p>
    <w:p>
      <w:pPr>
        <w:spacing w:before="0" w:after="160" w:line="320" w:lineRule="exact"/>
      </w:pPr>
      <w:r>
        <w:rPr>
          <w:rFonts w:ascii="Calibri" w:hAnsi="Calibri" w:cs="Calibri" w:eastAsia="Calibri"/>
          <w:b w:val="0"/>
          <w:color w:val="202124"/>
          <w:sz w:val="22"/>
        </w:rPr>
        <w:t>The WarmPool resource configures a pool of two pre-spawned pods that are bound to claims on demand. Two is enough for the demo tenant; the pool size is a tuning knob that trades node cost for tail latency on first-turn requests. A pod that has been claimed and released does not return to the warm pool — it is destroyed, and the WarmPool controller spawns a replacement against the current SandboxTemplate. This means template updates roll forward naturally as claims cycle, without an explicit pod recycle.</w:t>
      </w:r>
    </w:p>
    <w:p>
      <w:pPr>
        <w:spacing w:before="280" w:after="120" w:line="360" w:lineRule="exact"/>
      </w:pPr>
      <w:r>
        <w:rPr>
          <w:rFonts w:ascii="Calibri" w:hAnsi="Calibri" w:cs="Calibri" w:eastAsia="Calibri"/>
          <w:b/>
          <w:color w:val="141413"/>
          <w:sz w:val="28"/>
        </w:rPr>
        <w:t>4.5  Storage and persistence</w:t>
      </w:r>
    </w:p>
    <w:p>
      <w:pPr>
        <w:spacing w:before="200" w:after="80" w:line="320" w:lineRule="exact"/>
      </w:pPr>
      <w:r>
        <w:rPr>
          <w:rFonts w:ascii="Calibri" w:hAnsi="Calibri" w:cs="Calibri" w:eastAsia="Calibri"/>
          <w:b/>
          <w:color w:val="141413"/>
          <w:sz w:val="24"/>
        </w:rPr>
        <w:t>GCS layout</w:t>
      </w:r>
    </w:p>
    <w:p>
      <w:pPr>
        <w:spacing w:before="0" w:after="160" w:line="320" w:lineRule="exact"/>
      </w:pPr>
      <w:r>
        <w:rPr>
          <w:rFonts w:ascii="Calibri" w:hAnsi="Calibri" w:cs="Calibri" w:eastAsia="Calibri"/>
          <w:b w:val="0"/>
          <w:color w:val="202124"/>
          <w:sz w:val="22"/>
        </w:rPr>
        <w:t>The workspace bucket is gs://&lt;project&gt;-cc-a2a-snapshots, and every user's data lives under gs://&lt;project&gt;-cc-a2a-snapshots/users/&lt;user_key&gt;/. Inside a user's prefix, the layout is a tarball-style snapshot named with the SandboxClaim and the timestamp, plus a current/manifest.json that lists files and SHAs so a subsequent claim can quickly determine what to restore.</w:t>
      </w:r>
    </w:p>
    <w:p>
      <w:pPr>
        <w:spacing w:before="200" w:after="80" w:line="320" w:lineRule="exact"/>
      </w:pPr>
      <w:r>
        <w:rPr>
          <w:rFonts w:ascii="Calibri" w:hAnsi="Calibri" w:cs="Calibri" w:eastAsia="Calibri"/>
          <w:b/>
          <w:color w:val="141413"/>
          <w:sz w:val="24"/>
        </w:rPr>
        <w:t>Park and restore</w:t>
      </w:r>
    </w:p>
    <w:p>
      <w:pPr>
        <w:spacing w:before="0" w:after="160" w:line="320" w:lineRule="exact"/>
      </w:pPr>
      <w:r>
        <w:rPr>
          <w:rFonts w:ascii="Calibri" w:hAnsi="Calibri" w:cs="Calibri" w:eastAsia="Calibri"/>
          <w:b w:val="0"/>
          <w:color w:val="202124"/>
          <w:sz w:val="22"/>
        </w:rPr>
        <w:t>When a SandboxClaim is released, the bridge issues a POST to the pod's /park endpoint, which serializes /workspace into a tarball, uploads it to the user's prefix, and writes the manifest. When a fresh claim binds (either first time or after release), the pod's startup probe fetches the most recent manifest and restores files into /workspace before accepting requests. The manifest format is chosen deliberately to make incremental sync possible in a future iteration without changing the on-disk format.</w:t>
      </w:r>
    </w:p>
    <w:p>
      <w:pPr>
        <w:spacing w:before="200" w:after="80" w:line="320" w:lineRule="exact"/>
      </w:pPr>
      <w:r>
        <w:rPr>
          <w:rFonts w:ascii="Calibri" w:hAnsi="Calibri" w:cs="Calibri" w:eastAsia="Calibri"/>
          <w:b/>
          <w:color w:val="141413"/>
          <w:sz w:val="24"/>
        </w:rPr>
        <w:t>Firestore: sessions and memory</w:t>
      </w:r>
    </w:p>
    <w:p>
      <w:pPr>
        <w:spacing w:before="0" w:after="160" w:line="320" w:lineRule="exact"/>
      </w:pPr>
      <w:r>
        <w:rPr>
          <w:rFonts w:ascii="Calibri" w:hAnsi="Calibri" w:cs="Calibri" w:eastAsia="Calibri"/>
          <w:b w:val="0"/>
          <w:color w:val="202124"/>
          <w:sz w:val="22"/>
        </w:rPr>
        <w:t>Two Firestore collections back the agent's state. sessions/{context_id} stores the ADK Session for a given Gemini Enterprise thread: the event log, including every tool call and every model response, that ADK replays on the next turn. memory/{user_key}/facts/{fact_id} stores long-term, cross-thread facts: things the user has asked the agent to remember, such as preferred output formats, names of recurring projects, or stylistic preferences. The orchestrator's remember and recall tools are the interface to this collection.</w:t>
      </w:r>
    </w:p>
    <w:p>
      <w:pPr>
        <w:spacing w:before="200" w:after="80" w:line="320" w:lineRule="exact"/>
      </w:pPr>
      <w:r>
        <w:rPr>
          <w:rFonts w:ascii="Calibri" w:hAnsi="Calibri" w:cs="Calibri" w:eastAsia="Calibri"/>
          <w:b/>
          <w:color w:val="141413"/>
          <w:sz w:val="24"/>
        </w:rPr>
        <w:t>Downscoped STS tokens</w:t>
      </w:r>
    </w:p>
    <w:p>
      <w:pPr>
        <w:spacing w:before="0" w:after="160" w:line="320" w:lineRule="exact"/>
      </w:pPr>
      <w:r>
        <w:rPr>
          <w:rFonts w:ascii="Calibri" w:hAnsi="Calibri" w:cs="Calibri" w:eastAsia="Calibri"/>
          <w:b w:val="0"/>
          <w:color w:val="202124"/>
          <w:sz w:val="22"/>
        </w:rPr>
        <w:t>The bridge holds a service account (cc-a2a-bridge) with roles/storage.objectAdmin on the workspace bucket. For every backend request, it mints a downscoped STS token via google.auth.downscoped.Credentials, with a CredentialAccessBoundary specifying a single AccessBoundaryRule whose AvailabilityCondition is the CEL expression resource.name.startsWith('projects/_/buckets/&lt;bucket&gt;/objects/users/&lt;user_key&gt;/'). The resulting token has at most read/write access to that prefix and is forwarded to the pod via an X-Sandbox-Token header that the router preserves. Tokens are short-lived (30 minutes) and minted fresh for every claim binding.</w:t>
      </w:r>
    </w:p>
    <w:tbl>
      <w:tblPr>
        <w:tblW w:type="auto" w:w="0"/>
        <w:tblLayout w:type="fixed"/>
        <w:tblLook w:firstColumn="1" w:firstRow="1" w:lastColumn="0" w:lastRow="0" w:noHBand="0" w:noVBand="1" w:val="04A0"/>
        <w:tblW w:w="9360" w:type="dxa"/>
        <w:tblBorders>
          <w:top w:val="nil"/>
          <w:left w:val="nil"/>
          <w:bottom w:val="nil"/>
          <w:right w:val="nil"/>
          <w:insideH w:val="nil"/>
          <w:insideV w:val="nil"/>
        </w:tblBorders>
      </w:tblPr>
      <w:tblGrid>
        <w:gridCol w:w="9648"/>
      </w:tblGrid>
      <w:tr>
        <w:tc>
          <w:tcPr>
            <w:tcW w:w="9360" w:type="dxa"/>
            <w:shd w:val="clear" w:color="auto" w:fill="FBE9DF"/>
            <w:tcMar>
              <w:top w:w="172" w:type="dxa"/>
              <w:left w:w="288" w:type="dxa"/>
              <w:bottom w:w="172" w:type="dxa"/>
              <w:right w:w="288" w:type="dxa"/>
            </w:tcMar>
            <w:tcBorders>
              <w:left w:val="single" w:sz="24" w:color="D97757"/>
              <w:top w:val="nil"/>
              <w:right w:val="nil"/>
              <w:bottom w:val="nil"/>
            </w:tcBorders>
          </w:tcPr>
          <w:p>
            <w:pPr>
              <w:spacing w:before="0" w:after="0" w:line="320" w:lineRule="exact"/>
            </w:pPr>
            <w:r>
              <w:rPr>
                <w:rFonts w:ascii="Calibri" w:hAnsi="Calibri" w:cs="Calibri" w:eastAsia="Calibri"/>
                <w:b/>
                <w:color w:val="D97757"/>
                <w:sz w:val="20"/>
                <w:spacing w:val="24"/>
              </w:rPr>
              <w:t xml:space="preserve">EVIDENCE  </w:t>
            </w:r>
            <w:r>
              <w:rPr>
                <w:rFonts w:ascii="Calibri" w:hAnsi="Calibri" w:cs="Calibri" w:eastAsia="Calibri"/>
                <w:b w:val="0"/>
                <w:color w:val="202124"/>
                <w:sz w:val="21"/>
              </w:rPr>
              <w:t>The negative test in make iso-test creates two pods with distinct user_keys and verifies that pod A, when given its downscoped token and asked to list users/B/, receives a 403 from storage.googleapis.com — not a 403 from our code. This is the externally-observable signal that the STS Credential Access Boundary is doing the work, not an application-layer filter.</w:t>
            </w:r>
          </w:p>
        </w:tc>
      </w:tr>
    </w:tbl>
    <w:p>
      <w:pPr>
        <w:spacing w:before="80" w:after="80"/>
      </w:pPr>
    </w:p>
    <w:p>
      <w:pPr>
        <w:spacing w:before="280" w:after="120" w:line="360" w:lineRule="exact"/>
      </w:pPr>
      <w:r>
        <w:rPr>
          <w:rFonts w:ascii="Calibri" w:hAnsi="Calibri" w:cs="Calibri" w:eastAsia="Calibri"/>
          <w:b/>
          <w:color w:val="141413"/>
          <w:sz w:val="28"/>
        </w:rPr>
        <w:t>4.6  Artifact emission and MIME-aware routing</w:t>
      </w:r>
    </w:p>
    <w:p>
      <w:pPr>
        <w:spacing w:before="0" w:after="160" w:line="320" w:lineRule="exact"/>
      </w:pPr>
      <w:r>
        <w:rPr>
          <w:rFonts w:ascii="Calibri" w:hAnsi="Calibri" w:cs="Calibri" w:eastAsia="Calibri"/>
          <w:b w:val="0"/>
          <w:color w:val="202124"/>
          <w:sz w:val="22"/>
        </w:rPr>
        <w:t>Files the agent produces under /workspace become downloadable artifacts via the emit_artifact tool. The tool's responsibility is to make the file reachable from the chat thread; the question is whether to inline it (Path A) or to mint a signed URL the agent embeds in its reply (Path B). The decision is made by MIME type and size, and is the single point at which the agent's presentation behavior is configured.</w:t>
      </w:r>
    </w:p>
    <w:p>
      <w:pPr>
        <w:spacing w:before="200" w:after="80" w:line="320" w:lineRule="exact"/>
      </w:pPr>
      <w:r>
        <w:rPr>
          <w:rFonts w:ascii="Calibri" w:hAnsi="Calibri" w:cs="Calibri" w:eastAsia="Calibri"/>
          <w:b/>
          <w:color w:val="141413"/>
          <w:sz w:val="24"/>
        </w:rPr>
        <w:t>Path A: native FileWithBytes chip</w:t>
      </w:r>
    </w:p>
    <w:p>
      <w:pPr>
        <w:spacing w:before="0" w:after="160" w:line="320" w:lineRule="exact"/>
      </w:pPr>
      <w:r>
        <w:rPr>
          <w:rFonts w:ascii="Calibri" w:hAnsi="Calibri" w:cs="Calibri" w:eastAsia="Calibri"/>
          <w:b w:val="0"/>
          <w:color w:val="202124"/>
          <w:sz w:val="22"/>
        </w:rPr>
        <w:t>If the MIME type is on the verified Gemini Enterprise allowlist and the file is under 5 MB, emit_artifact reads the file from /workspace, base64-encodes it into an A2A FileWithBytes structure, and returns it as part of the response. The bridge translates the FileWithBytes into an A2A artifact event; GE renders it as a native download chip in the thread, with the agent's text reply above. The user clicks the chip; GE serves the file directly to the browser. No external storage involvement.</w:t>
      </w:r>
    </w:p>
    <w:p>
      <w:pPr>
        <w:spacing w:before="200" w:after="80" w:line="320" w:lineRule="exact"/>
      </w:pPr>
      <w:r>
        <w:rPr>
          <w:rFonts w:ascii="Calibri" w:hAnsi="Calibri" w:cs="Calibri" w:eastAsia="Calibri"/>
          <w:b/>
          <w:color w:val="141413"/>
          <w:sz w:val="24"/>
        </w:rPr>
        <w:t>Path B: signed Cloud Storage URL</w:t>
      </w:r>
    </w:p>
    <w:p>
      <w:pPr>
        <w:spacing w:before="0" w:after="160" w:line="320" w:lineRule="exact"/>
      </w:pPr>
      <w:r>
        <w:rPr>
          <w:rFonts w:ascii="Calibri" w:hAnsi="Calibri" w:cs="Calibri" w:eastAsia="Calibri"/>
          <w:b w:val="0"/>
          <w:color w:val="202124"/>
          <w:sz w:val="22"/>
        </w:rPr>
        <w:t>If the MIME is not allowlisted, or the file exceeds the 5 MB inline ceiling, the tool first uploads the file to gs://&lt;bucket&gt;/users/&lt;user_key&gt;/out/&lt;filename&gt; using the downscoped STS token, then asks the bridge to mint a v4 signed GET URL with response_disposition=attachment and filename=&lt;sanitized basename&gt;. The URL is returned to the orchestrator, which embeds it in the agent's reply as a clickable link. The URL is valid for 15 minutes; the user clicks; the browser triggers a download.</w:t>
      </w:r>
    </w:p>
    <w:p>
      <w:pPr>
        <w:spacing w:before="200" w:after="80" w:line="320" w:lineRule="exact"/>
      </w:pPr>
      <w:r>
        <w:rPr>
          <w:rFonts w:ascii="Calibri" w:hAnsi="Calibri" w:cs="Calibri" w:eastAsia="Calibri"/>
          <w:b/>
          <w:color w:val="141413"/>
          <w:sz w:val="24"/>
        </w:rPr>
        <w:t>Why "everything else → Path B" is the right default</w:t>
      </w:r>
    </w:p>
    <w:p>
      <w:pPr>
        <w:spacing w:before="0" w:after="160" w:line="320" w:lineRule="exact"/>
      </w:pPr>
      <w:r>
        <w:rPr>
          <w:rFonts w:ascii="Calibri" w:hAnsi="Calibri" w:cs="Calibri" w:eastAsia="Calibri"/>
          <w:b w:val="0"/>
          <w:color w:val="202124"/>
          <w:sz w:val="22"/>
        </w:rPr>
        <w:t>Gemini Enterprise's UI renders native chips only for a small set of MIME types — primarily image/png, image/jpeg, application/pdf, text/csv, text/plain, application/json, and a handful of Office document MIMEs. For everything else, including text/html, the chip is rejected and the user sees nothing. Path B exists because Path A's set is narrower than the agent's output surface. The decision to make Path B the universal fallback — rather than tailoring per-type fallback strategies — keeps the agent's behavioral surface small and testable.</w:t>
      </w:r>
    </w:p>
    <w:p>
      <w:pPr>
        <w:spacing w:before="200" w:after="80" w:line="320" w:lineRule="exact"/>
      </w:pPr>
      <w:r>
        <w:rPr>
          <w:rFonts w:ascii="Calibri" w:hAnsi="Calibri" w:cs="Calibri" w:eastAsia="Calibri"/>
          <w:b/>
          <w:color w:val="141413"/>
          <w:sz w:val="24"/>
        </w:rPr>
        <w:t>Content-Disposition=attachment (May 2026 hotfix)</w:t>
      </w:r>
    </w:p>
    <w:p>
      <w:pPr>
        <w:spacing w:before="0" w:after="160" w:line="320" w:lineRule="exact"/>
      </w:pPr>
      <w:r>
        <w:rPr>
          <w:rFonts w:ascii="Calibri" w:hAnsi="Calibri" w:cs="Calibri" w:eastAsia="Calibri"/>
          <w:b w:val="0"/>
          <w:color w:val="202124"/>
          <w:sz w:val="22"/>
        </w:rPr>
        <w:t>An earlier version of the signing path produced URLs without response_disposition. For text/html files, the browser interpreted the Content-Type header as authoritative and rendered the page inline rather than downloading it. The agent had been emitting workaround language ("right-click → save link as") to compensate for the broken UX. The May 2026 fix adds attachment behavior to every signed URL and sanitizes the filename to [A-Za-z0-9._-] to close the header-injection surface in the Content-Disposition value. The 12-case regression suite in bridge/test_sign.py covers happy path, header injection attempts, degenerate names ('', '.', '..'), and the 200-character truncation that preserves extensions.</w:t>
      </w:r>
    </w:p>
    <w:p>
      <w:pPr>
        <w:spacing w:before="280" w:after="120" w:line="360" w:lineRule="exact"/>
      </w:pPr>
      <w:r>
        <w:rPr>
          <w:rFonts w:ascii="Calibri" w:hAnsi="Calibri" w:cs="Calibri" w:eastAsia="Calibri"/>
          <w:b/>
          <w:color w:val="141413"/>
          <w:sz w:val="28"/>
        </w:rPr>
        <w:t>4.7  Workspace management tools</w:t>
      </w:r>
    </w:p>
    <w:p>
      <w:pPr>
        <w:spacing w:before="0" w:after="160" w:line="320" w:lineRule="exact"/>
      </w:pPr>
      <w:r>
        <w:rPr>
          <w:rFonts w:ascii="Calibri" w:hAnsi="Calibri" w:cs="Calibri" w:eastAsia="Calibri"/>
          <w:b w:val="0"/>
          <w:color w:val="202124"/>
          <w:sz w:val="22"/>
        </w:rPr>
        <w:t>The workspace is not opaque. The user can ask about it directly, and the orchestrator answers without invoking the Claude Code subprocess. Four tools — list_workspace, read_workspace_file, delete_workspace_file, and move_workspace_file — implement the conversational workspace surface, with a fifth tool, get_download_url, for the case where the user wants to re-download a file they had emitted earlier in the thread.</w:t>
      </w:r>
    </w:p>
    <w:p>
      <w:pPr>
        <w:spacing w:before="200" w:after="80" w:line="320" w:lineRule="exact"/>
      </w:pPr>
      <w:r>
        <w:rPr>
          <w:rFonts w:ascii="Calibri" w:hAnsi="Calibri" w:cs="Calibri" w:eastAsia="Calibri"/>
          <w:b/>
          <w:color w:val="141413"/>
          <w:sz w:val="24"/>
        </w:rPr>
        <w:t>Two-step soft-delete</w:t>
      </w:r>
    </w:p>
    <w:p>
      <w:pPr>
        <w:spacing w:before="0" w:after="160" w:line="320" w:lineRule="exact"/>
      </w:pPr>
      <w:r>
        <w:rPr>
          <w:rFonts w:ascii="Calibri" w:hAnsi="Calibri" w:cs="Calibri" w:eastAsia="Calibri"/>
          <w:b w:val="0"/>
          <w:color w:val="202124"/>
          <w:sz w:val="22"/>
        </w:rPr>
        <w:t>delete_workspace_file is intentionally a two-step operation. The first call (confirm=False, the default) moves the file from its current path to /workspace/.trash/&lt;basename&gt;-&lt;timestamp&gt; and reports back to the user. The second call (with confirm=True) hard-deletes from /workspace/.trash. The pattern exists because the harness occasionally generates a delete request ambiguously — a user saying "clean up that draft" can be reasonably interpreted as either soft or hard delete — and the soft-delete is a recoverable single-fat-finger boundary. move_workspace_file admits moves into and out of .trash, which gives the user an undo path.</w:t>
      </w:r>
    </w:p>
    <w:p>
      <w:pPr>
        <w:spacing w:before="200" w:after="80" w:line="320" w:lineRule="exact"/>
      </w:pPr>
      <w:r>
        <w:rPr>
          <w:rFonts w:ascii="Calibri" w:hAnsi="Calibri" w:cs="Calibri" w:eastAsia="Calibri"/>
          <w:b/>
          <w:color w:val="141413"/>
          <w:sz w:val="24"/>
        </w:rPr>
        <w:t>Function-calling argument coercion</w:t>
      </w:r>
    </w:p>
    <w:p>
      <w:pPr>
        <w:spacing w:before="0" w:after="160" w:line="320" w:lineRule="exact"/>
      </w:pPr>
      <w:r>
        <w:rPr>
          <w:rFonts w:ascii="Calibri" w:hAnsi="Calibri" w:cs="Calibri" w:eastAsia="Calibri"/>
          <w:b w:val="0"/>
          <w:color w:val="202124"/>
          <w:sz w:val="22"/>
        </w:rPr>
        <w:t>Tool arguments arrive at the workspace tools as strings, even when the schema declares them as integers, booleans, or lists. This is a property of how function calling lowers structured tool calls onto the wire — typed schemas describe the contract, but the values are stringified for transport. An earlier version of read_workspace_file took an offset parameter typed as int and crashed when the model passed "0". A May 2026 hotfix added explicit coercion at the tool boundary (int(arg), bool(arg) with string truthiness), backed by a 15-case regression suite. The lesson generalizes: typed arguments coming from function calling should be coerced at the boundary, not trusted to arrive in their declared type.</w:t>
      </w:r>
    </w:p>
    <w:p>
      <w:pPr>
        <w:spacing w:before="280" w:after="120" w:line="360" w:lineRule="exact"/>
      </w:pPr>
      <w:r>
        <w:rPr>
          <w:rFonts w:ascii="Calibri" w:hAnsi="Calibri" w:cs="Calibri" w:eastAsia="Calibri"/>
          <w:b/>
          <w:color w:val="141413"/>
          <w:sz w:val="28"/>
        </w:rPr>
        <w:t>4.8  Agent registration with Discovery Engine</w:t>
      </w:r>
    </w:p>
    <w:p>
      <w:pPr>
        <w:spacing w:before="0" w:after="160" w:line="320" w:lineRule="exact"/>
      </w:pPr>
      <w:r>
        <w:rPr>
          <w:rFonts w:ascii="Calibri" w:hAnsi="Calibri" w:cs="Calibri" w:eastAsia="Calibri"/>
          <w:b w:val="0"/>
          <w:color w:val="202124"/>
          <w:sz w:val="22"/>
        </w:rPr>
        <w:t>The agent is registered with Gemini Enterprise via Discovery Engine's Agents API. Registration is a one-time operation per environment, performed by the scripts/register-agent.sh helper, that creates an Agent resource referencing the bridge's A2A endpoint URL and the agent card published at /.well-known/agent-card.json on the bridge.</w:t>
      </w:r>
    </w:p>
    <w:p>
      <w:pPr>
        <w:spacing w:before="200" w:after="80" w:line="320" w:lineRule="exact"/>
      </w:pPr>
      <w:r>
        <w:rPr>
          <w:rFonts w:ascii="Calibri" w:hAnsi="Calibri" w:cs="Calibri" w:eastAsia="Calibri"/>
          <w:b/>
          <w:color w:val="141413"/>
          <w:sz w:val="24"/>
        </w:rPr>
        <w:t>The agent card</w:t>
      </w:r>
    </w:p>
    <w:p>
      <w:pPr>
        <w:spacing w:before="0" w:after="160" w:line="320" w:lineRule="exact"/>
      </w:pPr>
      <w:r>
        <w:rPr>
          <w:rFonts w:ascii="Calibri" w:hAnsi="Calibri" w:cs="Calibri" w:eastAsia="Calibri"/>
          <w:b w:val="0"/>
          <w:color w:val="202124"/>
          <w:sz w:val="22"/>
        </w:rPr>
        <w:t>The agent card is a JSON document that describes the agent to GE: name, description, supported A2A skills, input/output modalities, and any optional authorization configuration. The card declares the agent supports message/send and message/stream, that responses may include FileWithBytes artifacts, and that the input is free-form text plus optional file uploads. The card is served by the bridge at a public well-known path, but the underlying service requires Cloud Run invoker IAM, so only Discovery Engine's service agent can actually load it.</w:t>
      </w:r>
    </w:p>
    <w:p>
      <w:pPr>
        <w:spacing w:before="200" w:after="80" w:line="320" w:lineRule="exact"/>
      </w:pPr>
      <w:r>
        <w:rPr>
          <w:rFonts w:ascii="Calibri" w:hAnsi="Calibri" w:cs="Calibri" w:eastAsia="Calibri"/>
          <w:b/>
          <w:color w:val="141413"/>
          <w:sz w:val="24"/>
        </w:rPr>
        <w:t>Authorization</w:t>
      </w:r>
    </w:p>
    <w:p>
      <w:pPr>
        <w:spacing w:before="0" w:after="160" w:line="320" w:lineRule="exact"/>
      </w:pPr>
      <w:r>
        <w:rPr>
          <w:rFonts w:ascii="Calibri" w:hAnsi="Calibri" w:cs="Calibri" w:eastAsia="Calibri"/>
          <w:b w:val="0"/>
          <w:color w:val="202124"/>
          <w:sz w:val="22"/>
        </w:rPr>
        <w:t>Version 1 ships in single-user demo mode: the bridge trusts the OAuth token GE forwards and uses tokeninfo lookup to derive identity. The per-user authorizationConfig surface that Discovery Engine provides — which would route a customer's GE users through per-user OAuth consent screens to mint application-specific tokens — is deferred to v2. The deferral is documented in PROJECT_PLAN.md as a Phase 7 prep limitation and is bounded by the fact that the bridge already supports user_key derivation and the rest of the system is keyed off user_key.</w:t>
      </w:r>
    </w:p>
    <w:p>
      <w:r>
        <w:br w:type="page"/>
      </w:r>
    </w:p>
    <w:p>
      <w:pPr>
        <w:spacing w:before="480" w:after="240" w:line="520" w:lineRule="exact"/>
      </w:pPr>
      <w:r>
        <w:rPr>
          <w:rFonts w:ascii="Calibri" w:hAnsi="Calibri" w:cs="Calibri" w:eastAsia="Calibri"/>
          <w:b/>
          <w:color w:val="1A73E8"/>
          <w:sz w:val="40"/>
        </w:rPr>
        <w:t>5.  A Request's Lifecycle</w:t>
      </w:r>
    </w:p>
    <w:p>
      <w:pPr>
        <w:spacing w:before="280" w:after="120" w:line="360" w:lineRule="exact"/>
      </w:pPr>
      <w:r>
        <w:rPr>
          <w:rFonts w:ascii="Calibri" w:hAnsi="Calibri" w:cs="Calibri" w:eastAsia="Calibri"/>
          <w:b/>
          <w:color w:val="141413"/>
          <w:sz w:val="28"/>
        </w:rPr>
        <w:t>5.1  Step-by-step walkthrough</w:t>
      </w:r>
    </w:p>
    <w:p>
      <w:pPr>
        <w:spacing w:before="0" w:after="160" w:line="320" w:lineRule="exact"/>
      </w:pPr>
      <w:r>
        <w:rPr>
          <w:rFonts w:ascii="Calibri" w:hAnsi="Calibri" w:cs="Calibri" w:eastAsia="Calibri"/>
          <w:b w:val="0"/>
          <w:color w:val="202124"/>
          <w:sz w:val="22"/>
        </w:rPr>
        <w:t>A single user turn proceeds through eleven distinct hops, each with its own identity and trust posture. Tracing one request end-to-end makes the system's behavior concrete.</w:t>
      </w:r>
    </w:p>
    <w:p>
      <w:pPr>
        <w:spacing w:before="0" w:after="160" w:line="320" w:lineRule="exact"/>
      </w:pPr>
      <w:r>
        <w:rPr>
          <w:rFonts w:ascii="Calibri" w:hAnsi="Calibri" w:cs="Calibri" w:eastAsia="Calibri"/>
          <w:b w:val="0"/>
          <w:color w:val="202124"/>
          <w:sz w:val="22"/>
        </w:rPr>
        <w:t>(1) A user types a request in a Gemini Enterprise thread. GE generates an A2A request — a JSON-RPC message/stream call — and includes an Authorization: Bearer &lt;token&gt; header where the token is a Google OAuth access token minted on behalf of the end user. The request's context_id is the GE thread identifier; the task_id is unique per turn.</w:t>
      </w:r>
    </w:p>
    <w:p>
      <w:pPr>
        <w:spacing w:before="0" w:after="160" w:line="320" w:lineRule="exact"/>
      </w:pPr>
      <w:r>
        <w:rPr>
          <w:rFonts w:ascii="Calibri" w:hAnsi="Calibri" w:cs="Calibri" w:eastAsia="Calibri"/>
          <w:b w:val="0"/>
          <w:color w:val="202124"/>
          <w:sz w:val="22"/>
        </w:rPr>
        <w:t>(2) Discovery Engine resolves the agent card, which lists the bridge URL, and forwards the A2A request to cc-a2a-bridge on Cloud Run. The forwarding identity is the Discovery Engine service agent for the customer's project — that identity has roles/run.invoker on the bridge service, so the request is admitted past Cloud Run's IAM check.</w:t>
      </w:r>
    </w:p>
    <w:p>
      <w:pPr>
        <w:spacing w:before="0" w:after="160" w:line="320" w:lineRule="exact"/>
      </w:pPr>
      <w:r>
        <w:rPr>
          <w:rFonts w:ascii="Calibri" w:hAnsi="Calibri" w:cs="Calibri" w:eastAsia="Calibri"/>
          <w:b w:val="0"/>
          <w:color w:val="202124"/>
          <w:sz w:val="22"/>
        </w:rPr>
        <w:t>(3) The bridge resolves the user's OAuth token via oauth2.googleapis.com/tokeninfo, extracts the email or subject, and derives user_key by SHA256-truncate. It logs the resolution at INFO level (the user_key, not the email — PII never appears in bridge logs).</w:t>
      </w:r>
    </w:p>
    <w:p>
      <w:pPr>
        <w:spacing w:before="0" w:after="160" w:line="320" w:lineRule="exact"/>
      </w:pPr>
      <w:r>
        <w:rPr>
          <w:rFonts w:ascii="Calibri" w:hAnsi="Calibri" w:cs="Calibri" w:eastAsia="Calibri"/>
          <w:b w:val="0"/>
          <w:color w:val="202124"/>
          <w:sz w:val="22"/>
        </w:rPr>
        <w:t>(4) The bridge calls the K8s API to GET the SandboxClaim cc-u-&lt;user_key&gt; in the cc-sandbox namespace. If the claim exists and has a bound pod, the bridge reuses it. If not, the bridge creates the claim, which causes the Agent Sandbox controller to bind a pod from the warm pool. The bound pod's IP becomes the routing target.</w:t>
      </w:r>
    </w:p>
    <w:p>
      <w:pPr>
        <w:spacing w:before="0" w:after="160" w:line="320" w:lineRule="exact"/>
      </w:pPr>
      <w:r>
        <w:rPr>
          <w:rFonts w:ascii="Calibri" w:hAnsi="Calibri" w:cs="Calibri" w:eastAsia="Calibri"/>
          <w:b w:val="0"/>
          <w:color w:val="202124"/>
          <w:sz w:val="22"/>
        </w:rPr>
        <w:t>(5) The bridge mints a downscoped STS token scoped to users/&lt;user_key&gt;/, formats a backend request including the prompt, the context_id, and the X-Sandbox-Token header, and POSTs to the in-cluster router service.</w:t>
      </w:r>
    </w:p>
    <w:p>
      <w:pPr>
        <w:spacing w:before="0" w:after="160" w:line="320" w:lineRule="exact"/>
      </w:pPr>
      <w:r>
        <w:rPr>
          <w:rFonts w:ascii="Calibri" w:hAnsi="Calibri" w:cs="Calibri" w:eastAsia="Calibri"/>
          <w:b w:val="0"/>
          <w:color w:val="202124"/>
          <w:sz w:val="22"/>
        </w:rPr>
        <w:t>(6) The router examines the X-Sandbox-* headers and forwards the request to the bound pod's port 9000. The router is a simple TCP/HTTP forwarder; its only routing policy is the header-to-pod mapping derived from SandboxClaim state.</w:t>
      </w:r>
    </w:p>
    <w:p>
      <w:pPr>
        <w:spacing w:before="0" w:after="160" w:line="320" w:lineRule="exact"/>
      </w:pPr>
      <w:r>
        <w:rPr>
          <w:rFonts w:ascii="Calibri" w:hAnsi="Calibri" w:cs="Calibri" w:eastAsia="Calibri"/>
          <w:b w:val="0"/>
          <w:color w:val="202124"/>
          <w:sz w:val="22"/>
        </w:rPr>
        <w:t>(7) The pod's /execute handler receives the request, looks up or instantiates the ADK Session for the context_id (Firestore read), and invokes the ADK orchestrator with the user's prompt as the new turn.</w:t>
      </w:r>
    </w:p>
    <w:p>
      <w:pPr>
        <w:spacing w:before="0" w:after="160" w:line="320" w:lineRule="exact"/>
      </w:pPr>
      <w:r>
        <w:rPr>
          <w:rFonts w:ascii="Calibri" w:hAnsi="Calibri" w:cs="Calibri" w:eastAsia="Calibri"/>
          <w:b w:val="0"/>
          <w:color w:val="202124"/>
          <w:sz w:val="22"/>
        </w:rPr>
        <w:t>(8) The orchestrator runs through its tool-call loop. The first action is typically recall against the user's long-term memory. Depending on the request, the next actions are some combination of list_workspace, read_workspace_file, or claude_code. Each tool call is streamed back to the bridge over SSE.</w:t>
      </w:r>
    </w:p>
    <w:p>
      <w:pPr>
        <w:spacing w:before="0" w:after="160" w:line="320" w:lineRule="exact"/>
      </w:pPr>
      <w:r>
        <w:rPr>
          <w:rFonts w:ascii="Calibri" w:hAnsi="Calibri" w:cs="Calibri" w:eastAsia="Calibri"/>
          <w:b w:val="0"/>
          <w:color w:val="202124"/>
          <w:sz w:val="22"/>
        </w:rPr>
        <w:t>(9) When the orchestrator emits artifacts, emit_artifact routes by MIME. Path A inlines bytes; Path B uploads to GCS via the downscoped STS token and asks the bridge to mint a signed URL via /workspace/sign.</w:t>
      </w:r>
    </w:p>
    <w:p>
      <w:pPr>
        <w:spacing w:before="0" w:after="160" w:line="320" w:lineRule="exact"/>
      </w:pPr>
      <w:r>
        <w:rPr>
          <w:rFonts w:ascii="Calibri" w:hAnsi="Calibri" w:cs="Calibri" w:eastAsia="Calibri"/>
          <w:b w:val="0"/>
          <w:color w:val="202124"/>
          <w:sz w:val="22"/>
        </w:rPr>
        <w:t>(10) The bridge translates the backend's SSE event stream into A2A working/thought/response events, re-serializes file artifacts as FileWithBytes (Path A) or text-with-embedded-URL (Path B), and forwards them to Discovery Engine.</w:t>
      </w:r>
    </w:p>
    <w:p>
      <w:pPr>
        <w:spacing w:before="0" w:after="160" w:line="320" w:lineRule="exact"/>
      </w:pPr>
      <w:r>
        <w:rPr>
          <w:rFonts w:ascii="Calibri" w:hAnsi="Calibri" w:cs="Calibri" w:eastAsia="Calibri"/>
          <w:b w:val="0"/>
          <w:color w:val="202124"/>
          <w:sz w:val="22"/>
        </w:rPr>
        <w:t>(11) Discovery Engine forwards the events to the user's GE thread, where they render in the working pane (tool calls), the thinking pane (collapsed thought blocks), and the response pane (text plus chips or links). The user sees the agent's response and downloads artifacts directly from the chat.</w:t>
      </w:r>
    </w:p>
    <w:p>
      <w:pPr>
        <w:spacing w:before="280" w:after="120" w:line="360" w:lineRule="exact"/>
      </w:pPr>
      <w:r>
        <w:rPr>
          <w:rFonts w:ascii="Calibri" w:hAnsi="Calibri" w:cs="Calibri" w:eastAsia="Calibri"/>
          <w:b/>
          <w:color w:val="141413"/>
          <w:sz w:val="28"/>
        </w:rPr>
        <w:t>5.2  Parking and restoration</w:t>
      </w:r>
    </w:p>
    <w:p>
      <w:pPr>
        <w:spacing w:before="0" w:after="160" w:line="320" w:lineRule="exact"/>
      </w:pPr>
      <w:r>
        <w:rPr>
          <w:rFonts w:ascii="Calibri" w:hAnsi="Calibri" w:cs="Calibri" w:eastAsia="Calibri"/>
          <w:b w:val="0"/>
          <w:color w:val="202124"/>
          <w:sz w:val="22"/>
        </w:rPr>
        <w:t>When the bridge's sweeper detects that a SandboxClaim has been idle for 30 minutes, it issues POST /park to the pod. The pod responds by tarring /workspace into a snapshot, uploading it under the user's GCS prefix, writing a manifest.json with file sizes and SHAs, and deleting itself. The next claim for the same user_key binds a fresh pod, which on startup reads current/manifest.json from GCS and restores /workspace before accepting any /execute calls. The restoration is transparent to the user — their next turn lands on a pod whose /workspace appears identical to the state at the end of the previous session.</w:t>
      </w:r>
    </w:p>
    <w:p>
      <w:pPr>
        <w:spacing w:before="280" w:after="120" w:line="360" w:lineRule="exact"/>
      </w:pPr>
      <w:r>
        <w:rPr>
          <w:rFonts w:ascii="Calibri" w:hAnsi="Calibri" w:cs="Calibri" w:eastAsia="Calibri"/>
          <w:b/>
          <w:color w:val="141413"/>
          <w:sz w:val="28"/>
        </w:rPr>
        <w:t>5.3  Timing budget</w:t>
      </w:r>
    </w:p>
    <w:p>
      <w:pPr>
        <w:spacing w:before="0" w:after="160" w:line="320" w:lineRule="exact"/>
      </w:pPr>
      <w:r>
        <w:rPr>
          <w:rFonts w:ascii="Calibri" w:hAnsi="Calibri" w:cs="Calibri" w:eastAsia="Calibri"/>
          <w:b w:val="0"/>
          <w:color w:val="202124"/>
          <w:sz w:val="22"/>
        </w:rPr>
        <w:t>On a warm path — existing claim, bound pod, restored workspace — the user-perceived time from message send to first streaming token is dominated by the Claude model latency (under 2 seconds at first-token, depending on prompt size). On a cold path — fresh claim, warm-pool pod bound but workspace empty — the addition is the restore-from-GCS step, which adds 1-3 seconds depending on workspace size. On the coldest path — no warm-pool pod available — container start adds another 8-15 seconds. The warm pool size of 2 is the tuning knob that keeps the demo-tenant tail latency on the warm path.</w:t>
      </w:r>
    </w:p>
    <w:p>
      <w:r>
        <w:br w:type="page"/>
      </w:r>
    </w:p>
    <w:p>
      <w:pPr>
        <w:spacing w:before="480" w:after="240" w:line="520" w:lineRule="exact"/>
      </w:pPr>
      <w:r>
        <w:rPr>
          <w:rFonts w:ascii="Calibri" w:hAnsi="Calibri" w:cs="Calibri" w:eastAsia="Calibri"/>
          <w:b/>
          <w:color w:val="1A73E8"/>
          <w:sz w:val="40"/>
        </w:rPr>
        <w:t>6.  Deployment</w:t>
      </w:r>
    </w:p>
    <w:p>
      <w:pPr>
        <w:spacing w:before="280" w:after="120" w:line="360" w:lineRule="exact"/>
      </w:pPr>
      <w:r>
        <w:rPr>
          <w:rFonts w:ascii="Calibri" w:hAnsi="Calibri" w:cs="Calibri" w:eastAsia="Calibri"/>
          <w:b/>
          <w:color w:val="141413"/>
          <w:sz w:val="28"/>
        </w:rPr>
        <w:t>6.1  GCP project layout</w:t>
      </w:r>
    </w:p>
    <w:p>
      <w:pPr>
        <w:spacing w:before="0" w:after="160" w:line="320" w:lineRule="exact"/>
      </w:pPr>
      <w:r>
        <w:rPr>
          <w:rFonts w:ascii="Calibri" w:hAnsi="Calibri" w:cs="Calibri" w:eastAsia="Calibri"/>
          <w:b w:val="0"/>
          <w:color w:val="202124"/>
          <w:sz w:val="22"/>
        </w:rPr>
        <w:t>The system runs in a single GCP project. The reference deployment uses cpe-slarbi-nvd-ant-demos in us-central1. Services enabled: Cloud Run, GKE Autopilot, Artifact Registry, Firestore (native mode, named database cc-on-ge), Cloud Storage, Vertex AI (with the global endpoint configured for Claude), Cloud Build, Discovery Engine, and IAM Service Account Credentials API. No VPC service controls perimeter is enforced in v1, though the architecture supports adding one without structural change.</w:t>
      </w:r>
    </w:p>
    <w:p>
      <w:pPr>
        <w:spacing w:before="280" w:after="120" w:line="360" w:lineRule="exact"/>
      </w:pPr>
      <w:r>
        <w:rPr>
          <w:rFonts w:ascii="Calibri" w:hAnsi="Calibri" w:cs="Calibri" w:eastAsia="Calibri"/>
          <w:b/>
          <w:color w:val="141413"/>
          <w:sz w:val="28"/>
        </w:rPr>
        <w:t>6.2  Terraform structure</w:t>
      </w:r>
    </w:p>
    <w:tbl>
      <w:tblPr>
        <w:tblW w:type="auto" w:w="0"/>
        <w:tblLayout w:type="fixed"/>
        <w:tblLook w:firstColumn="1" w:firstRow="1" w:lastColumn="0" w:lastRow="0" w:noHBand="0" w:noVBand="1" w:val="04A0"/>
        <w:tblW w:w="9360" w:type="dxa"/>
        <w:tblBorders>
          <w:top w:val="single" w:sz="4" w:color="F1F3F4"/>
          <w:left w:val="single" w:sz="4" w:color="F1F3F4"/>
          <w:bottom w:val="single" w:sz="4" w:color="F1F3F4"/>
          <w:right w:val="single" w:sz="4" w:color="F1F3F4"/>
          <w:insideH w:val="single" w:sz="4" w:color="F1F3F4"/>
          <w:insideV w:val="single" w:sz="4" w:color="F1F3F4"/>
        </w:tblBorders>
      </w:tblPr>
      <w:tblGrid>
        <w:gridCol w:w="4824"/>
        <w:gridCol w:w="4824"/>
      </w:tblGrid>
      <w:tr>
        <w:tc>
          <w:tcPr>
            <w:tcW w:w="2304"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File</w:t>
            </w:r>
          </w:p>
        </w:tc>
        <w:tc>
          <w:tcPr>
            <w:tcW w:w="7488"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What it provisions</w:t>
            </w:r>
          </w:p>
        </w:tc>
      </w:tr>
      <w:tr>
        <w:tc>
          <w:tcPr>
            <w:tcW w:w="230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main.tf</w:t>
            </w:r>
          </w:p>
        </w:tc>
        <w:tc>
          <w:tcPr>
            <w:tcW w:w="748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Provider config, locals, top-level outputs.</w:t>
            </w:r>
          </w:p>
        </w:tc>
      </w:tr>
      <w:tr>
        <w:tc>
          <w:tcPr>
            <w:tcW w:w="2304"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gke.tf</w:t>
            </w:r>
          </w:p>
        </w:tc>
        <w:tc>
          <w:tcPr>
            <w:tcW w:w="748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Autopilot cluster cc-sandbox with the Agent Sandbox addon enabled.</w:t>
            </w:r>
          </w:p>
        </w:tc>
      </w:tr>
      <w:tr>
        <w:tc>
          <w:tcPr>
            <w:tcW w:w="230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cloudrun.tf</w:t>
            </w:r>
          </w:p>
        </w:tc>
        <w:tc>
          <w:tcPr>
            <w:tcW w:w="748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cc-a2a-bridge Cloud Run service, image tag, env, min-instances, ingress.</w:t>
            </w:r>
          </w:p>
        </w:tc>
      </w:tr>
      <w:tr>
        <w:tc>
          <w:tcPr>
            <w:tcW w:w="2304"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firestore.tf</w:t>
            </w:r>
          </w:p>
        </w:tc>
        <w:tc>
          <w:tcPr>
            <w:tcW w:w="748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Named database cc-on-ge, region, indexes for sessions and memory.</w:t>
            </w:r>
          </w:p>
        </w:tc>
      </w:tr>
      <w:tr>
        <w:tc>
          <w:tcPr>
            <w:tcW w:w="230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storage.tf</w:t>
            </w:r>
          </w:p>
        </w:tc>
        <w:tc>
          <w:tcPr>
            <w:tcW w:w="748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Workspace bucket with uniform IAM, lifecycle for old snapshots, retention settings.</w:t>
            </w:r>
          </w:p>
        </w:tc>
      </w:tr>
      <w:tr>
        <w:tc>
          <w:tcPr>
            <w:tcW w:w="2304"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iam.tf</w:t>
            </w:r>
          </w:p>
        </w:tc>
        <w:tc>
          <w:tcPr>
            <w:tcW w:w="748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Service accounts (cc-a2a-bridge, cc-a2a-backend, cc-sandbox-sa, cc-a2a-builder), role bindings, Workload Identity bindings.</w:t>
            </w:r>
          </w:p>
        </w:tc>
      </w:tr>
      <w:tr>
        <w:tc>
          <w:tcPr>
            <w:tcW w:w="230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k8s.tf</w:t>
            </w:r>
          </w:p>
        </w:tc>
        <w:tc>
          <w:tcPr>
            <w:tcW w:w="748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SandboxTemplate, SandboxWarmPool, NetworkPolicies, sandbox-router Service and Deployment.</w:t>
            </w:r>
          </w:p>
        </w:tc>
      </w:tr>
    </w:tbl>
    <w:p>
      <w:pPr>
        <w:spacing w:before="80" w:after="80"/>
      </w:pPr>
    </w:p>
    <w:p>
      <w:pPr>
        <w:spacing w:before="280" w:after="120" w:line="360" w:lineRule="exact"/>
      </w:pPr>
      <w:r>
        <w:rPr>
          <w:rFonts w:ascii="Calibri" w:hAnsi="Calibri" w:cs="Calibri" w:eastAsia="Calibri"/>
          <w:b/>
          <w:color w:val="141413"/>
          <w:sz w:val="28"/>
        </w:rPr>
        <w:t>6.3  Build pipeline</w:t>
      </w:r>
    </w:p>
    <w:p>
      <w:pPr>
        <w:spacing w:before="0" w:after="160" w:line="320" w:lineRule="exact"/>
      </w:pPr>
      <w:r>
        <w:rPr>
          <w:rFonts w:ascii="Calibri" w:hAnsi="Calibri" w:cs="Calibri" w:eastAsia="Calibri"/>
          <w:b w:val="0"/>
          <w:color w:val="202124"/>
          <w:sz w:val="22"/>
        </w:rPr>
        <w:t>Two images are built — cc-a2a-bridge (the Cloud Run service) and cc-backend (the GKE pod). Both are built with Cloud Build via infra/cloudbuild.yaml, which is parameterized by _IMAGE and _TAG substitutions so the same yaml drives both targets. Images are pushed to us-central1-docker.pkg.dev/&lt;project&gt;/cc-on-ge/. Tag discipline is phase-numbered: phase8-r1, phase12-r5, and so on. Tags are immutable in practice — a new tag for a new image — so terraform applies that bump image tags produce identifiable revision-rollout events in Cloud Run and SandboxTemplate generation events on the GKE side.</w:t>
      </w:r>
    </w:p>
    <w:p>
      <w:pPr>
        <w:spacing w:before="280" w:after="120" w:line="360" w:lineRule="exact"/>
      </w:pPr>
      <w:r>
        <w:rPr>
          <w:rFonts w:ascii="Calibri" w:hAnsi="Calibri" w:cs="Calibri" w:eastAsia="Calibri"/>
          <w:b/>
          <w:color w:val="141413"/>
          <w:sz w:val="28"/>
        </w:rPr>
        <w:t>6.4  Gated rollout pattern</w:t>
      </w:r>
    </w:p>
    <w:p>
      <w:pPr>
        <w:spacing w:before="0" w:after="160" w:line="320" w:lineRule="exact"/>
      </w:pPr>
      <w:r>
        <w:rPr>
          <w:rFonts w:ascii="Calibri" w:hAnsi="Calibri" w:cs="Calibri" w:eastAsia="Calibri"/>
          <w:b w:val="0"/>
          <w:color w:val="202124"/>
          <w:sz w:val="22"/>
        </w:rPr>
        <w:t>Image bumps follow a five-step gate that has been refined through twelve phases. (1) Build the new image with Cloud Build, verify the build itself succeeded and the relevant smoke-test inside the Dockerfile passes. (2) Run a pip-freeze (or equivalent) inside the built image to verify dependency versions match expectations — the lesson from the May 2026 outage is that the image must be inspected directly, not just the requirements file. (3) Edit the terraform image tag and run terraform plan; verify the plan is exactly the expected number of in-place updates with no collateral drift. (4) Eyeball the plan and apply on explicit confirmation. (5) Watch logs for the first 6 minutes after rollout, specifically waiting for periodic background jobs (the sweeper) to fire at least once successfully before declaring the deploy smoke-green. (6) Verify in a real Gemini Enterprise thread.</w:t>
      </w:r>
    </w:p>
    <w:tbl>
      <w:tblPr>
        <w:tblW w:type="auto" w:w="0"/>
        <w:tblLayout w:type="fixed"/>
        <w:tblLook w:firstColumn="1" w:firstRow="1" w:lastColumn="0" w:lastRow="0" w:noHBand="0" w:noVBand="1" w:val="04A0"/>
        <w:tblW w:w="9360" w:type="dxa"/>
        <w:tblBorders>
          <w:top w:val="nil"/>
          <w:left w:val="nil"/>
          <w:bottom w:val="nil"/>
          <w:right w:val="nil"/>
          <w:insideH w:val="nil"/>
          <w:insideV w:val="nil"/>
        </w:tblBorders>
      </w:tblPr>
      <w:tblGrid>
        <w:gridCol w:w="9648"/>
      </w:tblGrid>
      <w:tr>
        <w:tc>
          <w:tcPr>
            <w:tcW w:w="9360" w:type="dxa"/>
            <w:shd w:val="clear" w:color="auto" w:fill="FBE9DF"/>
            <w:tcMar>
              <w:top w:w="172" w:type="dxa"/>
              <w:left w:w="288" w:type="dxa"/>
              <w:bottom w:w="172" w:type="dxa"/>
              <w:right w:w="288" w:type="dxa"/>
            </w:tcMar>
            <w:tcBorders>
              <w:left w:val="single" w:sz="24" w:color="D97757"/>
              <w:top w:val="nil"/>
              <w:right w:val="nil"/>
              <w:bottom w:val="nil"/>
            </w:tcBorders>
          </w:tcPr>
          <w:p>
            <w:pPr>
              <w:spacing w:before="0" w:after="0" w:line="320" w:lineRule="exact"/>
            </w:pPr>
            <w:r>
              <w:rPr>
                <w:rFonts w:ascii="Calibri" w:hAnsi="Calibri" w:cs="Calibri" w:eastAsia="Calibri"/>
                <w:b/>
                <w:color w:val="D97757"/>
                <w:sz w:val="20"/>
                <w:spacing w:val="24"/>
              </w:rPr>
              <w:t xml:space="preserve">LESSON  </w:t>
            </w:r>
            <w:r>
              <w:rPr>
                <w:rFonts w:ascii="Calibri" w:hAnsi="Calibri" w:cs="Calibri" w:eastAsia="Calibri"/>
                <w:b w:val="0"/>
                <w:color w:val="202124"/>
                <w:sz w:val="21"/>
              </w:rPr>
              <w:t>The platform's "Ready=True" signal is upstream of the actual user-visible failure surface. Production-readiness requires a synthetic request that exercises the dependency-critical path, not just a probe response. See Section 7 for the principle.</w:t>
            </w:r>
          </w:p>
        </w:tc>
      </w:tr>
    </w:tbl>
    <w:p>
      <w:pPr>
        <w:spacing w:before="80" w:after="80"/>
      </w:pPr>
    </w:p>
    <w:p>
      <w:pPr>
        <w:spacing w:before="280" w:after="120" w:line="360" w:lineRule="exact"/>
      </w:pPr>
      <w:r>
        <w:rPr>
          <w:rFonts w:ascii="Calibri" w:hAnsi="Calibri" w:cs="Calibri" w:eastAsia="Calibri"/>
          <w:b/>
          <w:color w:val="141413"/>
          <w:sz w:val="28"/>
        </w:rPr>
        <w:t>6.5  Deploying into a fresh GCP project</w:t>
      </w:r>
    </w:p>
    <w:p>
      <w:pPr>
        <w:spacing w:before="0" w:after="160" w:line="320" w:lineRule="exact"/>
      </w:pPr>
      <w:r>
        <w:rPr>
          <w:rFonts w:ascii="Calibri" w:hAnsi="Calibri" w:cs="Calibri" w:eastAsia="Calibri"/>
          <w:b w:val="0"/>
          <w:color w:val="202124"/>
          <w:sz w:val="22"/>
        </w:rPr>
        <w:t>The rough sequence to stand the system up in an empty project: enable the APIs listed in 6.1; create the Terraform state bucket and builder service account (scripts/bootstrap.sh); run the parameterized Cloud Build for both images to populate Artifact Registry; terraform apply to provision infrastructure; scripts/register-agent.sh to register with Discovery Engine; verify smoke and the three CUJs. The make bootstrap and make deploy targets package this for a reproducible setup, but the underlying steps are discoverable and the apply is gated rather than single-shot.</w:t>
      </w:r>
    </w:p>
    <w:p>
      <w:r>
        <w:br w:type="page"/>
      </w:r>
    </w:p>
    <w:p>
      <w:pPr>
        <w:spacing w:before="480" w:after="240" w:line="520" w:lineRule="exact"/>
      </w:pPr>
      <w:r>
        <w:rPr>
          <w:rFonts w:ascii="Calibri" w:hAnsi="Calibri" w:cs="Calibri" w:eastAsia="Calibri"/>
          <w:b/>
          <w:color w:val="1A73E8"/>
          <w:sz w:val="40"/>
        </w:rPr>
        <w:t>7.  Best Practices and Deployment Learnings</w:t>
      </w:r>
    </w:p>
    <w:p>
      <w:pPr>
        <w:spacing w:before="0" w:after="160" w:line="320" w:lineRule="exact"/>
      </w:pPr>
      <w:r>
        <w:rPr>
          <w:rFonts w:ascii="Calibri" w:hAnsi="Calibri" w:cs="Calibri" w:eastAsia="Calibri"/>
          <w:b w:val="0"/>
          <w:color w:val="202124"/>
          <w:sz w:val="22"/>
        </w:rPr>
        <w:t>These principles emerged from the twelve-phase build and are documented here as actionable guidance for anyone building a similar system. Each is named, explained, and grounded in the specific incident or decision that drove the lesson home.</w:t>
      </w:r>
    </w:p>
    <w:p>
      <w:pPr>
        <w:spacing w:before="280" w:after="120" w:line="360" w:lineRule="exact"/>
      </w:pPr>
      <w:r>
        <w:rPr>
          <w:rFonts w:ascii="Calibri" w:hAnsi="Calibri" w:cs="Calibri" w:eastAsia="Calibri"/>
          <w:b/>
          <w:color w:val="141413"/>
          <w:sz w:val="28"/>
        </w:rPr>
        <w:t>7.1  Separation of orchestrator and executor (the Option-A bet)</w:t>
      </w:r>
    </w:p>
    <w:p>
      <w:pPr>
        <w:spacing w:before="0" w:after="160" w:line="320" w:lineRule="exact"/>
      </w:pPr>
      <w:r>
        <w:rPr>
          <w:rFonts w:ascii="Calibri" w:hAnsi="Calibri" w:cs="Calibri" w:eastAsia="Calibri"/>
          <w:b w:val="0"/>
          <w:color w:val="202124"/>
          <w:sz w:val="22"/>
        </w:rPr>
        <w:t>The orchestrator owns user identity, session state, memory, artifact emission, and the surface registered with the host platform. The executor (Claude Code, in this build) is a stateless subprocess invoked by one tool with a narrow contract. Mixing these — letting the executor become the entry point — produces a system where every architectural concern is coupled to the harness implementation. Adding a second harness later is a tool registration, not a rewrite. This principle is what makes "add Antigravity" a Phase 13 conversation rather than a redesign.</w:t>
      </w:r>
    </w:p>
    <w:p>
      <w:pPr>
        <w:spacing w:before="280" w:after="120" w:line="360" w:lineRule="exact"/>
      </w:pPr>
      <w:r>
        <w:rPr>
          <w:rFonts w:ascii="Calibri" w:hAnsi="Calibri" w:cs="Calibri" w:eastAsia="Calibri"/>
          <w:b/>
          <w:color w:val="141413"/>
          <w:sz w:val="28"/>
        </w:rPr>
        <w:t>7.2  Real-path verification over synthetic green tests</w:t>
      </w:r>
    </w:p>
    <w:p>
      <w:pPr>
        <w:spacing w:before="0" w:after="160" w:line="320" w:lineRule="exact"/>
      </w:pPr>
      <w:r>
        <w:rPr>
          <w:rFonts w:ascii="Calibri" w:hAnsi="Calibri" w:cs="Calibri" w:eastAsia="Calibri"/>
          <w:b w:val="0"/>
          <w:color w:val="202124"/>
          <w:sz w:val="22"/>
        </w:rPr>
        <w:t>Tests that fire a request through the same path the user fires reveal categories of failure that probe-only tests never see. The May 2026 outage in this system had every platform-level health check green — Cloud Run Ready=True, ContainerHealthy=True, /healthz returning 200 every 30 seconds — while every real A2A request crashed inside the request handler with a K8s 401. The fix in deployment process was to add a synthetic request that exercises a SandboxClaim CRUD operation before declaring a deploy green. The general principle: container health is necessary but not sufficient.</w:t>
      </w:r>
    </w:p>
    <w:p>
      <w:pPr>
        <w:spacing w:before="280" w:after="120" w:line="360" w:lineRule="exact"/>
      </w:pPr>
      <w:r>
        <w:rPr>
          <w:rFonts w:ascii="Calibri" w:hAnsi="Calibri" w:cs="Calibri" w:eastAsia="Calibri"/>
          <w:b/>
          <w:color w:val="141413"/>
          <w:sz w:val="28"/>
        </w:rPr>
        <w:t>7.3  Conservative defaults for unverified surfaces</w:t>
      </w:r>
    </w:p>
    <w:p>
      <w:pPr>
        <w:spacing w:before="0" w:after="160" w:line="320" w:lineRule="exact"/>
      </w:pPr>
      <w:r>
        <w:rPr>
          <w:rFonts w:ascii="Calibri" w:hAnsi="Calibri" w:cs="Calibri" w:eastAsia="Calibri"/>
          <w:b w:val="0"/>
          <w:color w:val="202124"/>
          <w:sz w:val="22"/>
        </w:rPr>
        <w:t>When the behavior of an external surface is not deterministically known, default to the safer fallback. The Gemini Enterprise MIME allowlist is enumerated by trial — types not on the allowlist must be routed to Path B (signed URL) rather than attempting Path A and hoping it renders. Pattern: any time the system depends on a downstream surface that may evolve, choose the default that produces a working result on the broadest set of inputs, and treat the optimization (Path A) as a type-narrowed special case.</w:t>
      </w:r>
    </w:p>
    <w:p>
      <w:pPr>
        <w:spacing w:before="280" w:after="120" w:line="360" w:lineRule="exact"/>
      </w:pPr>
      <w:r>
        <w:rPr>
          <w:rFonts w:ascii="Calibri" w:hAnsi="Calibri" w:cs="Calibri" w:eastAsia="Calibri"/>
          <w:b/>
          <w:color w:val="141413"/>
          <w:sz w:val="28"/>
        </w:rPr>
        <w:t>7.4  Audit the bug class, not just the reported instance</w:t>
      </w:r>
    </w:p>
    <w:p>
      <w:pPr>
        <w:spacing w:before="0" w:after="160" w:line="320" w:lineRule="exact"/>
      </w:pPr>
      <w:r>
        <w:rPr>
          <w:rFonts w:ascii="Calibri" w:hAnsi="Calibri" w:cs="Calibri" w:eastAsia="Calibri"/>
          <w:b w:val="0"/>
          <w:color w:val="202124"/>
          <w:sz w:val="22"/>
        </w:rPr>
        <w:t>When a bug is identified — for example, the function-calling string-vs-int crash in read_workspace_file — the immediate fix in one tool is necessary but not sufficient. The pattern (function calling delivers typed arguments as strings) likely affects every other tool with non-string parameters. The May 2026 hotfix sweep audited all five workspace tools and found a second related defect (delete_workspace_file's confirm argument being string-truthy-evaluated to True for the string "False"), which would have caused silent hard-deletes. Audit siblings; do not fix only the one that paged.</w:t>
      </w:r>
    </w:p>
    <w:p>
      <w:pPr>
        <w:spacing w:before="280" w:after="120" w:line="360" w:lineRule="exact"/>
      </w:pPr>
      <w:r>
        <w:rPr>
          <w:rFonts w:ascii="Calibri" w:hAnsi="Calibri" w:cs="Calibri" w:eastAsia="Calibri"/>
          <w:b/>
          <w:color w:val="141413"/>
          <w:sz w:val="28"/>
        </w:rPr>
        <w:t>7.5  Safety mechanisms need tests proving the unsafe path is closed</w:t>
      </w:r>
    </w:p>
    <w:p>
      <w:pPr>
        <w:spacing w:before="0" w:after="160" w:line="320" w:lineRule="exact"/>
      </w:pPr>
      <w:r>
        <w:rPr>
          <w:rFonts w:ascii="Calibri" w:hAnsi="Calibri" w:cs="Calibri" w:eastAsia="Calibri"/>
          <w:b w:val="0"/>
          <w:color w:val="202124"/>
          <w:sz w:val="22"/>
        </w:rPr>
        <w:t>A safety guarantee that is enforced only by code review is no guarantee at all. The per-user storage isolation in this system is enforced by the IAM Credential Access Boundary; the test that proves it is make iso-test, which constructs a pod with user_key A's downscoped token, attempts to read users/B/, and asserts a 403 from storage.googleapis.com (not from application code). The test fails loudly if any future change accidentally grants the backend SA direct bucket access. If the safety property cannot be expressed as a test, the property is not in production.</w:t>
      </w:r>
    </w:p>
    <w:p>
      <w:pPr>
        <w:spacing w:before="280" w:after="120" w:line="360" w:lineRule="exact"/>
      </w:pPr>
      <w:r>
        <w:rPr>
          <w:rFonts w:ascii="Calibri" w:hAnsi="Calibri" w:cs="Calibri" w:eastAsia="Calibri"/>
          <w:b/>
          <w:color w:val="141413"/>
          <w:sz w:val="28"/>
        </w:rPr>
        <w:t>7.6  Function-calling delivers typed args as strings; coerce at the boundary</w:t>
      </w:r>
    </w:p>
    <w:p>
      <w:pPr>
        <w:spacing w:before="0" w:after="160" w:line="320" w:lineRule="exact"/>
      </w:pPr>
      <w:r>
        <w:rPr>
          <w:rFonts w:ascii="Calibri" w:hAnsi="Calibri" w:cs="Calibri" w:eastAsia="Calibri"/>
          <w:b w:val="0"/>
          <w:color w:val="202124"/>
          <w:sz w:val="22"/>
        </w:rPr>
        <w:t>JSON-schema function-calling describes the contract — this argument is an integer, this one is a boolean — but the wire format and the model's transcription frequently produce stringified values. Tools should coerce at the boundary, before validation logic runs. The pattern is small (int(arg) inside a try/except, explicit string-truthiness for booleans) but it is load-bearing. The May 2026 workspace-tools hotfix is the evidence of why.</w:t>
      </w:r>
    </w:p>
    <w:p>
      <w:pPr>
        <w:spacing w:before="280" w:after="120" w:line="360" w:lineRule="exact"/>
      </w:pPr>
      <w:r>
        <w:rPr>
          <w:rFonts w:ascii="Calibri" w:hAnsi="Calibri" w:cs="Calibri" w:eastAsia="Calibri"/>
          <w:b/>
          <w:color w:val="141413"/>
          <w:sz w:val="28"/>
        </w:rPr>
        <w:t>7.7  Container health is necessary but not sufficient</w:t>
      </w:r>
    </w:p>
    <w:p>
      <w:pPr>
        <w:spacing w:before="0" w:after="160" w:line="320" w:lineRule="exact"/>
      </w:pPr>
      <w:r>
        <w:rPr>
          <w:rFonts w:ascii="Calibri" w:hAnsi="Calibri" w:cs="Calibri" w:eastAsia="Calibri"/>
          <w:b w:val="0"/>
          <w:color w:val="202124"/>
          <w:sz w:val="22"/>
        </w:rPr>
        <w:t>(Lesson 8.20 in the project's internal lessons-learned tracking.) Cloud Run reporting Ready=True only means the platform launched the container and a /healthz probe responded. It says nothing about whether the binary can actually do its job. The May 2026 outage had every platform metric green while every real request crashed. Production-readiness requires a synthetic request that exercises the dependency-critical path before declaring deploy success.</w:t>
      </w:r>
    </w:p>
    <w:p>
      <w:pPr>
        <w:spacing w:before="280" w:after="120" w:line="360" w:lineRule="exact"/>
      </w:pPr>
      <w:r>
        <w:rPr>
          <w:rFonts w:ascii="Calibri" w:hAnsi="Calibri" w:cs="Calibri" w:eastAsia="Calibri"/>
          <w:b/>
          <w:color w:val="141413"/>
          <w:sz w:val="28"/>
        </w:rPr>
        <w:t>7.8  Unpinned dependencies are a time bomb</w:t>
      </w:r>
    </w:p>
    <w:p>
      <w:pPr>
        <w:spacing w:before="0" w:after="160" w:line="320" w:lineRule="exact"/>
      </w:pPr>
      <w:r>
        <w:rPr>
          <w:rFonts w:ascii="Calibri" w:hAnsi="Calibri" w:cs="Calibri" w:eastAsia="Calibri"/>
          <w:b w:val="0"/>
          <w:color w:val="202124"/>
          <w:sz w:val="22"/>
        </w:rPr>
        <w:t>(Lesson 8.19.) A reproducible build is not the same as a deterministic build. If a dependency list contains package names without == pins, two builds of identical source code can produce binaries with different transitive trees, and the difference can break production silently. The May 2026 incident here: bridge requirements.txt had kubernetes and google-auth unpinned, pip resolved kubernetes-36 (released that month, with a new aiohttp-based auth stack) when the prior known-good build had resolved kubernetes-35, and every SandboxClaim CRUD operation returned 401 from the GKE control plane. Pin precisely; document with dated rationale.</w:t>
      </w:r>
    </w:p>
    <w:p>
      <w:pPr>
        <w:spacing w:before="280" w:after="120" w:line="360" w:lineRule="exact"/>
      </w:pPr>
      <w:r>
        <w:rPr>
          <w:rFonts w:ascii="Calibri" w:hAnsi="Calibri" w:cs="Calibri" w:eastAsia="Calibri"/>
          <w:b/>
          <w:color w:val="141413"/>
          <w:sz w:val="28"/>
        </w:rPr>
        <w:t>7.9  Pin SOURCE matters as much as pin VALUE</w:t>
      </w:r>
    </w:p>
    <w:p>
      <w:pPr>
        <w:spacing w:before="0" w:after="160" w:line="320" w:lineRule="exact"/>
      </w:pPr>
      <w:r>
        <w:rPr>
          <w:rFonts w:ascii="Calibri" w:hAnsi="Calibri" w:cs="Calibri" w:eastAsia="Calibri"/>
          <w:b w:val="0"/>
          <w:color w:val="202124"/>
          <w:sz w:val="22"/>
        </w:rPr>
        <w:t>(Lesson 8.21.) A version pin in requirements.txt does nothing if the Dockerfile installs packages with bare names (RUN pip install "kubernetes"). In the recovery from the May 2026 outage, the first attempt pinned the versions in requirements.txt and rebuilt. The image still resolved to kubernetes-36 because the Dockerfile had per-package RUN lines that bypassed the requirements file entirely. The verification step that caught this — running pip freeze inside the built image and diffing against the working baseline — is the discipline the general principle teaches: trust the artifact, not the manifest.</w:t>
      </w:r>
    </w:p>
    <w:p>
      <w:pPr>
        <w:spacing w:before="280" w:after="120" w:line="360" w:lineRule="exact"/>
      </w:pPr>
      <w:r>
        <w:rPr>
          <w:rFonts w:ascii="Calibri" w:hAnsi="Calibri" w:cs="Calibri" w:eastAsia="Calibri"/>
          <w:b/>
          <w:color w:val="141413"/>
          <w:sz w:val="28"/>
        </w:rPr>
        <w:t>7.10  Gated rollouts with eyeball discipline at every blast-radius boundary</w:t>
      </w:r>
    </w:p>
    <w:p>
      <w:pPr>
        <w:spacing w:before="0" w:after="160" w:line="320" w:lineRule="exact"/>
      </w:pPr>
      <w:r>
        <w:rPr>
          <w:rFonts w:ascii="Calibri" w:hAnsi="Calibri" w:cs="Calibri" w:eastAsia="Calibri"/>
          <w:b w:val="0"/>
          <w:color w:val="202124"/>
          <w:sz w:val="22"/>
        </w:rPr>
        <w:t>Every change with non-local blast radius is gated. Image builds, terraform plans, and applies are separate explicit steps. Plans are eyeballed for unexpected drift before apply. Real-GE verification is performed by the engineer, not asserted by automation, before commit. The discipline costs minutes; the savings, when a subtle terraform-plan or build-output surprise is caught before apply, are hours of rollback work. The May 2026 outage's recovery, where the broken image was deployed because the smoke gate only checked container health rather than a real K8s call, is the case study.</w:t>
      </w:r>
    </w:p>
    <w:p>
      <w:pPr>
        <w:spacing w:before="280" w:after="120" w:line="360" w:lineRule="exact"/>
      </w:pPr>
      <w:r>
        <w:rPr>
          <w:rFonts w:ascii="Calibri" w:hAnsi="Calibri" w:cs="Calibri" w:eastAsia="Calibri"/>
          <w:b/>
          <w:color w:val="141413"/>
          <w:sz w:val="28"/>
        </w:rPr>
        <w:t>7.11  Probe before integrate (the A2UI lesson)</w:t>
      </w:r>
    </w:p>
    <w:p>
      <w:pPr>
        <w:spacing w:before="0" w:after="160" w:line="320" w:lineRule="exact"/>
      </w:pPr>
      <w:r>
        <w:rPr>
          <w:rFonts w:ascii="Calibri" w:hAnsi="Calibri" w:cs="Calibri" w:eastAsia="Calibri"/>
          <w:b w:val="0"/>
          <w:color w:val="202124"/>
          <w:sz w:val="22"/>
        </w:rPr>
        <w:t>When a new external surface is on the roadmap — A2UI v0.8 for native interactive UI in chat — the right first step is a minimum-viable probe that confirms the surface actually behaves as documented before any production wiring depends on it. The probe artifacts in scripts/phase12 were never merged into production paths; they stood up enough scaffolding to verify A2UI surfacing in GE, captured the result, and let the production path stay on the prior working version. Integration commits to the dependency; probes do not. The discipline prevents a category of "I'll just use the new thing" outages.</w:t>
      </w:r>
    </w:p>
    <w:p>
      <w:r>
        <w:br w:type="page"/>
      </w:r>
    </w:p>
    <w:p>
      <w:pPr>
        <w:spacing w:before="480" w:after="240" w:line="520" w:lineRule="exact"/>
      </w:pPr>
      <w:r>
        <w:rPr>
          <w:rFonts w:ascii="Calibri" w:hAnsi="Calibri" w:cs="Calibri" w:eastAsia="Calibri"/>
          <w:b/>
          <w:color w:val="1A73E8"/>
          <w:sz w:val="40"/>
        </w:rPr>
        <w:t>8.  Operational Considerations</w:t>
      </w:r>
    </w:p>
    <w:p>
      <w:pPr>
        <w:spacing w:before="280" w:after="120" w:line="360" w:lineRule="exact"/>
      </w:pPr>
      <w:r>
        <w:rPr>
          <w:rFonts w:ascii="Calibri" w:hAnsi="Calibri" w:cs="Calibri" w:eastAsia="Calibri"/>
          <w:b/>
          <w:color w:val="141413"/>
          <w:sz w:val="28"/>
        </w:rPr>
        <w:t>8.1  Observability</w:t>
      </w:r>
    </w:p>
    <w:p>
      <w:pPr>
        <w:spacing w:before="0" w:after="160" w:line="320" w:lineRule="exact"/>
      </w:pPr>
      <w:r>
        <w:rPr>
          <w:rFonts w:ascii="Calibri" w:hAnsi="Calibri" w:cs="Calibri" w:eastAsia="Calibri"/>
          <w:b w:val="0"/>
          <w:color w:val="202124"/>
          <w:sz w:val="22"/>
        </w:rPr>
        <w:t>Per-turn cost tracking lives in the orchestrator's interpretation of the claude-agent-sdk ResultMessage. Each invocation of claude_code emits, at end of turn, a structured result that includes input_tokens, output_tokens, and the model used. The orchestrator writes those fields to the ADK event log; the bridge surfaces them in the A2A response metadata so GE's billing surface can attribute cost per turn and per user. Long-term observability is intentionally minimal in v1 — logs to Cloud Logging, no application metrics — and a Phase 14 tracing initiative is queued.</w:t>
      </w:r>
    </w:p>
    <w:p>
      <w:pPr>
        <w:spacing w:before="280" w:after="120" w:line="360" w:lineRule="exact"/>
      </w:pPr>
      <w:r>
        <w:rPr>
          <w:rFonts w:ascii="Calibri" w:hAnsi="Calibri" w:cs="Calibri" w:eastAsia="Calibri"/>
          <w:b/>
          <w:color w:val="141413"/>
          <w:sz w:val="28"/>
        </w:rPr>
        <w:t>8.2  Logging surface — what is logged and what is never logged</w:t>
      </w:r>
    </w:p>
    <w:p>
      <w:pPr>
        <w:spacing w:before="0" w:after="160" w:line="320" w:lineRule="exact"/>
      </w:pPr>
      <w:r>
        <w:rPr>
          <w:rFonts w:ascii="Calibri" w:hAnsi="Calibri" w:cs="Calibri" w:eastAsia="Calibri"/>
          <w:b w:val="0"/>
          <w:color w:val="202124"/>
          <w:sz w:val="22"/>
        </w:rPr>
        <w:t>Logs are deliberately scoped to operational signals. Every A2A request logs context_id, task_id, user_key, and elapsed time. Tool invocations log the tool name and a structured outcome (success / failure). Errors log full traceback. Two things are explicitly never logged: signed URLs (because the URL is sensitive and anyone with log access could otherwise retrieve files they should not see), and user PII (the user_key hash is the only identifier in the log stream; the original email or subject appears only inside the bridge's token resolution and is not persisted).</w:t>
      </w:r>
    </w:p>
    <w:p>
      <w:pPr>
        <w:spacing w:before="280" w:after="120" w:line="360" w:lineRule="exact"/>
      </w:pPr>
      <w:r>
        <w:rPr>
          <w:rFonts w:ascii="Calibri" w:hAnsi="Calibri" w:cs="Calibri" w:eastAsia="Calibri"/>
          <w:b/>
          <w:color w:val="141413"/>
          <w:sz w:val="28"/>
        </w:rPr>
        <w:t>8.3  IAM hygiene patterns (grant-then-revoke)</w:t>
      </w:r>
    </w:p>
    <w:p>
      <w:pPr>
        <w:spacing w:before="0" w:after="160" w:line="320" w:lineRule="exact"/>
      </w:pPr>
      <w:r>
        <w:rPr>
          <w:rFonts w:ascii="Calibri" w:hAnsi="Calibri" w:cs="Calibri" w:eastAsia="Calibri"/>
          <w:b w:val="0"/>
          <w:color w:val="202124"/>
          <w:sz w:val="22"/>
        </w:rPr>
        <w:t>Operational IAM grants — debugging access, smoke-script permissions, one-off troubleshooting — follow a grant-then-revoke pattern. The grant is scripted with an explicit revoke script alongside; the operator running the script knows up front what they will undo. The scripts/iam-hygiene.sh helpers, introduced in commit 74e6cc9, codify this discipline. The general pattern: production IAM grants in the steady state are Terraform-managed; ad-hoc grants are ephemeral and have an explicit cleanup partner.</w:t>
      </w:r>
    </w:p>
    <w:p>
      <w:pPr>
        <w:spacing w:before="280" w:after="120" w:line="360" w:lineRule="exact"/>
      </w:pPr>
      <w:r>
        <w:rPr>
          <w:rFonts w:ascii="Calibri" w:hAnsi="Calibri" w:cs="Calibri" w:eastAsia="Calibri"/>
          <w:b/>
          <w:color w:val="141413"/>
          <w:sz w:val="28"/>
        </w:rPr>
        <w:t>8.4  Warm-pool tuning</w:t>
      </w:r>
    </w:p>
    <w:p>
      <w:pPr>
        <w:spacing w:before="0" w:after="160" w:line="320" w:lineRule="exact"/>
      </w:pPr>
      <w:r>
        <w:rPr>
          <w:rFonts w:ascii="Calibri" w:hAnsi="Calibri" w:cs="Calibri" w:eastAsia="Calibri"/>
          <w:b w:val="0"/>
          <w:color w:val="202124"/>
          <w:sz w:val="22"/>
        </w:rPr>
        <w:t>The pool size is the dominant tail-latency knob. Two pre-spawned pods is enough for the demo tenant; a production tenant should size to expected concurrent first-turn users. The pool can be scaled with kubectl edit sandboxwarmpool cc-backend-warm or via Terraform. Pool members consume node capacity even while idle, so the trade-off is cost-per-warm-pod versus first-turn latency. The idle-teardown threshold (30 minutes default) is a separate knob trading user-perceived session continuity for node-hour cost.</w:t>
      </w:r>
    </w:p>
    <w:p>
      <w:pPr>
        <w:spacing w:before="280" w:after="120" w:line="360" w:lineRule="exact"/>
      </w:pPr>
      <w:r>
        <w:rPr>
          <w:rFonts w:ascii="Calibri" w:hAnsi="Calibri" w:cs="Calibri" w:eastAsia="Calibri"/>
          <w:b/>
          <w:color w:val="141413"/>
          <w:sz w:val="28"/>
        </w:rPr>
        <w:t>8.5  Failure modes and how they manifest</w:t>
      </w:r>
    </w:p>
    <w:tbl>
      <w:tblPr>
        <w:tblW w:type="auto" w:w="0"/>
        <w:tblLayout w:type="fixed"/>
        <w:tblLook w:firstColumn="1" w:firstRow="1" w:lastColumn="0" w:lastRow="0" w:noHBand="0" w:noVBand="1" w:val="04A0"/>
        <w:tblW w:w="9360" w:type="dxa"/>
        <w:tblBorders>
          <w:top w:val="single" w:sz="4" w:color="F1F3F4"/>
          <w:left w:val="single" w:sz="4" w:color="F1F3F4"/>
          <w:bottom w:val="single" w:sz="4" w:color="F1F3F4"/>
          <w:right w:val="single" w:sz="4" w:color="F1F3F4"/>
          <w:insideH w:val="single" w:sz="4" w:color="F1F3F4"/>
          <w:insideV w:val="single" w:sz="4" w:color="F1F3F4"/>
        </w:tblBorders>
      </w:tblPr>
      <w:tblGrid>
        <w:gridCol w:w="3216"/>
        <w:gridCol w:w="3216"/>
        <w:gridCol w:w="3216"/>
      </w:tblGrid>
      <w:tr>
        <w:tc>
          <w:tcPr>
            <w:tcW w:w="2880"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Failure</w:t>
            </w:r>
          </w:p>
        </w:tc>
        <w:tc>
          <w:tcPr>
            <w:tcW w:w="3311"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Symptom in GE</w:t>
            </w:r>
          </w:p>
        </w:tc>
        <w:tc>
          <w:tcPr>
            <w:tcW w:w="3600"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Where to look</w:t>
            </w:r>
          </w:p>
        </w:tc>
      </w:tr>
      <w:tr>
        <w:tc>
          <w:tcPr>
            <w:tcW w:w="288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Bridge cannot reach K8s API</w:t>
            </w:r>
          </w:p>
        </w:tc>
        <w:tc>
          <w:tcPr>
            <w:tcW w:w="3311"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Empty reply with "?" badge</w:t>
            </w:r>
          </w:p>
        </w:tc>
        <w:tc>
          <w:tcPr>
            <w:tcW w:w="360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Cloud Logging cc-a2a-bridge service — look for 401 from kubernetes.client</w:t>
            </w:r>
          </w:p>
        </w:tc>
      </w:tr>
      <w:tr>
        <w:tc>
          <w:tcPr>
            <w:tcW w:w="288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Pod fails to bind from warm pool</w:t>
            </w:r>
          </w:p>
        </w:tc>
        <w:tc>
          <w:tcPr>
            <w:tcW w:w="3311"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Long delay then "Couldn't connect" error</w:t>
            </w:r>
          </w:p>
        </w:tc>
        <w:tc>
          <w:tcPr>
            <w:tcW w:w="360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kubectl describe sandboxclaim cc-u-&lt;key&gt;; kubectl get pods -n cc-sandbox</w:t>
            </w:r>
          </w:p>
        </w:tc>
      </w:tr>
      <w:tr>
        <w:tc>
          <w:tcPr>
            <w:tcW w:w="288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Workspace restore fails</w:t>
            </w:r>
          </w:p>
        </w:tc>
        <w:tc>
          <w:tcPr>
            <w:tcW w:w="3311"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Pod responsive but workspace empty</w:t>
            </w:r>
          </w:p>
        </w:tc>
        <w:tc>
          <w:tcPr>
            <w:tcW w:w="360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Pod logs for the restore step; gs://&lt;bucket&gt;/users/&lt;key&gt;/current/ for the manifest</w:t>
            </w:r>
          </w:p>
        </w:tc>
      </w:tr>
      <w:tr>
        <w:tc>
          <w:tcPr>
            <w:tcW w:w="288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Path A artifact silently dropped</w:t>
            </w:r>
          </w:p>
        </w:tc>
        <w:tc>
          <w:tcPr>
            <w:tcW w:w="3311"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Agent claims success, no chip appears</w:t>
            </w:r>
          </w:p>
        </w:tc>
        <w:tc>
          <w:tcPr>
            <w:tcW w:w="360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MIME is not on the allowlist — should have been routed Path B</w:t>
            </w:r>
          </w:p>
        </w:tc>
      </w:tr>
      <w:tr>
        <w:tc>
          <w:tcPr>
            <w:tcW w:w="288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Path B URL renders inline in browser</w:t>
            </w:r>
          </w:p>
        </w:tc>
        <w:tc>
          <w:tcPr>
            <w:tcW w:w="3311"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Page opens instead of downloading</w:t>
            </w:r>
          </w:p>
        </w:tc>
        <w:tc>
          <w:tcPr>
            <w:tcW w:w="360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Check signed-URL params for response-content-disposition=attachment</w:t>
            </w:r>
          </w:p>
        </w:tc>
      </w:tr>
      <w:tr>
        <w:tc>
          <w:tcPr>
            <w:tcW w:w="288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Vertex inference fails</w:t>
            </w:r>
          </w:p>
        </w:tc>
        <w:tc>
          <w:tcPr>
            <w:tcW w:w="3311"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Empty thinking pane, error event in stream</w:t>
            </w:r>
          </w:p>
        </w:tc>
        <w:tc>
          <w:tcPr>
            <w:tcW w:w="360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VERTEXAI_PROJECT, CLOUD_ML_REGION env in pod; Vertex quota in the GCP project</w:t>
            </w:r>
          </w:p>
        </w:tc>
      </w:tr>
    </w:tbl>
    <w:p>
      <w:pPr>
        <w:spacing w:before="80" w:after="80"/>
      </w:pPr>
    </w:p>
    <w:p>
      <w:pPr>
        <w:spacing w:before="280" w:after="120" w:line="360" w:lineRule="exact"/>
      </w:pPr>
      <w:r>
        <w:rPr>
          <w:rFonts w:ascii="Calibri" w:hAnsi="Calibri" w:cs="Calibri" w:eastAsia="Calibri"/>
          <w:b/>
          <w:color w:val="141413"/>
          <w:sz w:val="28"/>
        </w:rPr>
        <w:t>8.6  Rollback discipline</w:t>
      </w:r>
    </w:p>
    <w:p>
      <w:pPr>
        <w:spacing w:before="0" w:after="160" w:line="320" w:lineRule="exact"/>
      </w:pPr>
      <w:r>
        <w:rPr>
          <w:rFonts w:ascii="Calibri" w:hAnsi="Calibri" w:cs="Calibri" w:eastAsia="Calibri"/>
          <w:b w:val="0"/>
          <w:color w:val="202124"/>
          <w:sz w:val="22"/>
        </w:rPr>
        <w:t>Rollbacks are first-class operations. Terraform's image-tag-based revision model means rolling back a bridge or backend image is a symmetric edit-plan-apply of the same form as the forward bump. Cloud Run preserves prior revisions indefinitely (or until manually deleted), so the rollback target is always available. The May 2026 outage was resolved by exactly this pattern: revert two image tags in terraform, show the plan, apply, restoration verified within 15 minutes of incident declaration. Rollback is not a punishment for deploying a bad image; it is the expected response while the fix-forward is being prepared.</w:t>
      </w:r>
    </w:p>
    <w:p>
      <w:r>
        <w:br w:type="page"/>
      </w:r>
    </w:p>
    <w:p>
      <w:pPr>
        <w:spacing w:before="480" w:after="240" w:line="520" w:lineRule="exact"/>
      </w:pPr>
      <w:r>
        <w:rPr>
          <w:rFonts w:ascii="Calibri" w:hAnsi="Calibri" w:cs="Calibri" w:eastAsia="Calibri"/>
          <w:b/>
          <w:color w:val="1A73E8"/>
          <w:sz w:val="40"/>
        </w:rPr>
        <w:t>9.  Extensibility and Roadmap</w:t>
      </w:r>
    </w:p>
    <w:p>
      <w:pPr>
        <w:spacing w:before="280" w:after="120" w:line="360" w:lineRule="exact"/>
      </w:pPr>
      <w:r>
        <w:rPr>
          <w:rFonts w:ascii="Calibri" w:hAnsi="Calibri" w:cs="Calibri" w:eastAsia="Calibri"/>
          <w:b/>
          <w:color w:val="141413"/>
          <w:sz w:val="28"/>
        </w:rPr>
        <w:t>9.1  Why Option A makes future additions additive</w:t>
      </w:r>
    </w:p>
    <w:p>
      <w:pPr>
        <w:spacing w:before="0" w:after="160" w:line="320" w:lineRule="exact"/>
      </w:pPr>
      <w:r>
        <w:rPr>
          <w:rFonts w:ascii="Calibri" w:hAnsi="Calibri" w:cs="Calibri" w:eastAsia="Calibri"/>
          <w:b w:val="0"/>
          <w:color w:val="202124"/>
          <w:sz w:val="22"/>
        </w:rPr>
        <w:t>Each item on the roadmap below is a new tool or a new tightening, not a new architecture. This is the dividend of the orchestrator-as-brain separation. The cost of each addition is bounded by its own surface; none requires touching identity propagation, sandbox lifecycle, signed-URL minting, or the artifact-emission model.</w:t>
      </w:r>
    </w:p>
    <w:p>
      <w:pPr>
        <w:spacing w:before="280" w:after="120" w:line="360" w:lineRule="exact"/>
      </w:pPr>
      <w:r>
        <w:rPr>
          <w:rFonts w:ascii="Calibri" w:hAnsi="Calibri" w:cs="Calibri" w:eastAsia="Calibri"/>
          <w:b/>
          <w:color w:val="141413"/>
          <w:sz w:val="28"/>
        </w:rPr>
        <w:t>9.2  Per-user authorization via authorizationConfig</w:t>
      </w:r>
    </w:p>
    <w:p>
      <w:pPr>
        <w:spacing w:before="0" w:after="160" w:line="320" w:lineRule="exact"/>
      </w:pPr>
      <w:r>
        <w:rPr>
          <w:rFonts w:ascii="Calibri" w:hAnsi="Calibri" w:cs="Calibri" w:eastAsia="Calibri"/>
          <w:b w:val="0"/>
          <w:color w:val="202124"/>
          <w:sz w:val="22"/>
        </w:rPr>
        <w:t>Version 1 ships in single-user demo mode. The Gemini Enterprise Discovery Engine API supports a per-agent authorizationConfig surface that routes the user through a per-app OAuth consent screen and mints application-specific tokens for the agent. Integrating this is a bridge-side change: the bridge already derives user_key from any verified token; switching from the default GE token to an application-specific token changes nothing downstream. Phase 13 work item.</w:t>
      </w:r>
    </w:p>
    <w:p>
      <w:pPr>
        <w:spacing w:before="280" w:after="120" w:line="360" w:lineRule="exact"/>
      </w:pPr>
      <w:r>
        <w:rPr>
          <w:rFonts w:ascii="Calibri" w:hAnsi="Calibri" w:cs="Calibri" w:eastAsia="Calibri"/>
          <w:b/>
          <w:color w:val="141413"/>
          <w:sz w:val="28"/>
        </w:rPr>
        <w:t>9.3  Latency optimization (model routing)</w:t>
      </w:r>
    </w:p>
    <w:p>
      <w:pPr>
        <w:spacing w:before="0" w:after="160" w:line="320" w:lineRule="exact"/>
      </w:pPr>
      <w:r>
        <w:rPr>
          <w:rFonts w:ascii="Calibri" w:hAnsi="Calibri" w:cs="Calibri" w:eastAsia="Calibri"/>
          <w:b w:val="0"/>
          <w:color w:val="202124"/>
          <w:sz w:val="22"/>
        </w:rPr>
        <w:t>Today both the orchestrator and the Claude Code subprocess use claude-opus-4-7. For many user turns — particularly the recall-only follow-up questions and the workspace-listing requests — opus-class capability is excess. A model-routing tier in the orchestrator would inspect the turn shape and pick a smaller model (sonnet-4-6 or haiku-4-5) for the fast path. This is the original Phase 11 work item, currently queued. Net effect: an order-of-magnitude latency reduction on conversational turns without affecting code-generation quality.</w:t>
      </w:r>
    </w:p>
    <w:p>
      <w:pPr>
        <w:spacing w:before="280" w:after="120" w:line="360" w:lineRule="exact"/>
      </w:pPr>
      <w:r>
        <w:rPr>
          <w:rFonts w:ascii="Calibri" w:hAnsi="Calibri" w:cs="Calibri" w:eastAsia="Calibri"/>
          <w:b/>
          <w:color w:val="141413"/>
          <w:sz w:val="28"/>
        </w:rPr>
        <w:t>9.4  Connector context ingestion</w:t>
      </w:r>
    </w:p>
    <w:p>
      <w:pPr>
        <w:spacing w:before="0" w:after="160" w:line="320" w:lineRule="exact"/>
      </w:pPr>
      <w:r>
        <w:rPr>
          <w:rFonts w:ascii="Calibri" w:hAnsi="Calibri" w:cs="Calibri" w:eastAsia="Calibri"/>
          <w:b w:val="0"/>
          <w:color w:val="202124"/>
          <w:sz w:val="22"/>
        </w:rPr>
        <w:t>Gemini Enterprise ships native connectors for Drive, Docs, Jira, GitHub, and Confluence. Surfacing connector content as files under /workspace/context/ — read-only, scoped per user, refreshed on demand — would let users ask the agent to operate on documents they already have in those systems without uploading them. The implementation is a new tool, fetch_context, that the orchestrator can invoke at the start of a turn. Out of scope for v1; queued for the post-MVP roadmap.</w:t>
      </w:r>
    </w:p>
    <w:p>
      <w:pPr>
        <w:spacing w:before="280" w:after="120" w:line="360" w:lineRule="exact"/>
      </w:pPr>
      <w:r>
        <w:rPr>
          <w:rFonts w:ascii="Calibri" w:hAnsi="Calibri" w:cs="Calibri" w:eastAsia="Calibri"/>
          <w:b/>
          <w:color w:val="141413"/>
          <w:sz w:val="28"/>
        </w:rPr>
        <w:t>9.5  A2UI for native interactive UI in chat</w:t>
      </w:r>
    </w:p>
    <w:p>
      <w:pPr>
        <w:spacing w:before="0" w:after="160" w:line="320" w:lineRule="exact"/>
      </w:pPr>
      <w:r>
        <w:rPr>
          <w:rFonts w:ascii="Calibri" w:hAnsi="Calibri" w:cs="Calibri" w:eastAsia="Calibri"/>
          <w:b w:val="0"/>
          <w:color w:val="202124"/>
          <w:sz w:val="22"/>
        </w:rPr>
        <w:t>Gemini Enterprise's A2UI v0.8 protocol allows agents to emit structured UI components — buttons, forms, selectable choices — that render natively in the chat. The probe artifacts in scripts/phase12 (commit 5bb2e37) stood up enough scaffolding to verify the surface renders correctly. Production integration is deferred; the verified probe gives us confidence the surface is stable enough to integrate when the user value justifies it (likely the deploy-confirmation and schema-pick steps of artifact generation).</w:t>
      </w:r>
    </w:p>
    <w:p>
      <w:pPr>
        <w:spacing w:before="280" w:after="120" w:line="360" w:lineRule="exact"/>
      </w:pPr>
      <w:r>
        <w:rPr>
          <w:rFonts w:ascii="Calibri" w:hAnsi="Calibri" w:cs="Calibri" w:eastAsia="Calibri"/>
          <w:b/>
          <w:color w:val="141413"/>
          <w:sz w:val="28"/>
        </w:rPr>
        <w:t>9.6  Live-preview proxy for dev servers</w:t>
      </w:r>
    </w:p>
    <w:p>
      <w:pPr>
        <w:spacing w:before="0" w:after="160" w:line="320" w:lineRule="exact"/>
      </w:pPr>
      <w:r>
        <w:rPr>
          <w:rFonts w:ascii="Calibri" w:hAnsi="Calibri" w:cs="Calibri" w:eastAsia="Calibri"/>
          <w:b w:val="0"/>
          <w:color w:val="202124"/>
          <w:sz w:val="22"/>
        </w:rPr>
        <w:t>For prototype generation, the user often wants to see the prototype running, not just download the source. A live-preview proxy that exposes localhost:&lt;port&gt; from inside the sandbox over a signed-URL-authenticated tunnel would let the agent's working pane include an iframe of the running app. The architectural pieces exist (downscoped tokens, signed URLs); the integration is a new endpoint on the bridge and a tool on the orchestrator. Phase 15 candidate.</w:t>
      </w:r>
    </w:p>
    <w:p>
      <w:pPr>
        <w:spacing w:before="280" w:after="120" w:line="360" w:lineRule="exact"/>
      </w:pPr>
      <w:r>
        <w:rPr>
          <w:rFonts w:ascii="Calibri" w:hAnsi="Calibri" w:cs="Calibri" w:eastAsia="Calibri"/>
          <w:b/>
          <w:color w:val="141413"/>
          <w:sz w:val="28"/>
        </w:rPr>
        <w:t>9.7  Observability and tracing</w:t>
      </w:r>
    </w:p>
    <w:p>
      <w:pPr>
        <w:spacing w:before="0" w:after="160" w:line="320" w:lineRule="exact"/>
      </w:pPr>
      <w:r>
        <w:rPr>
          <w:rFonts w:ascii="Calibri" w:hAnsi="Calibri" w:cs="Calibri" w:eastAsia="Calibri"/>
          <w:b w:val="0"/>
          <w:color w:val="202124"/>
          <w:sz w:val="22"/>
        </w:rPr>
        <w:t>OpenTelemetry tracing across the bridge → router → pod → Claude Code chain would give us per-turn latency attribution at each hop. The trace context already propagates through A2A; instrumenting the bridge's FastAPI routes and the backend's ADK orchestrator with OTel spans, exporting to Cloud Trace, is a half-day of work. The benefit is the ability to answer "why did that turn take 14 seconds" with a flamegraph rather than log spelunking.</w:t>
      </w:r>
    </w:p>
    <w:p>
      <w:r>
        <w:br w:type="page"/>
      </w:r>
    </w:p>
    <w:p>
      <w:pPr>
        <w:spacing w:before="480" w:after="240" w:line="520" w:lineRule="exact"/>
      </w:pPr>
      <w:r>
        <w:rPr>
          <w:rFonts w:ascii="Calibri" w:hAnsi="Calibri" w:cs="Calibri" w:eastAsia="Calibri"/>
          <w:b/>
          <w:color w:val="1A73E8"/>
          <w:sz w:val="40"/>
        </w:rPr>
        <w:t>10.  Appendix</w:t>
      </w:r>
    </w:p>
    <w:p>
      <w:pPr>
        <w:spacing w:before="280" w:after="120" w:line="360" w:lineRule="exact"/>
      </w:pPr>
      <w:r>
        <w:rPr>
          <w:rFonts w:ascii="Calibri" w:hAnsi="Calibri" w:cs="Calibri" w:eastAsia="Calibri"/>
          <w:b/>
          <w:color w:val="141413"/>
          <w:sz w:val="28"/>
        </w:rPr>
        <w:t>A  Locked configuration constants</w:t>
      </w:r>
    </w:p>
    <w:tbl>
      <w:tblPr>
        <w:tblW w:type="auto" w:w="0"/>
        <w:tblLayout w:type="fixed"/>
        <w:tblLook w:firstColumn="1" w:firstRow="1" w:lastColumn="0" w:lastRow="0" w:noHBand="0" w:noVBand="1" w:val="04A0"/>
        <w:tblW w:w="9360" w:type="dxa"/>
        <w:tblBorders>
          <w:top w:val="single" w:sz="4" w:color="F1F3F4"/>
          <w:left w:val="single" w:sz="4" w:color="F1F3F4"/>
          <w:bottom w:val="single" w:sz="4" w:color="F1F3F4"/>
          <w:right w:val="single" w:sz="4" w:color="F1F3F4"/>
          <w:insideH w:val="single" w:sz="4" w:color="F1F3F4"/>
          <w:insideV w:val="single" w:sz="4" w:color="F1F3F4"/>
        </w:tblBorders>
      </w:tblPr>
      <w:tblGrid>
        <w:gridCol w:w="4824"/>
        <w:gridCol w:w="4824"/>
      </w:tblGrid>
      <w:tr>
        <w:tc>
          <w:tcPr>
            <w:tcW w:w="4320"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Setting</w:t>
            </w:r>
          </w:p>
        </w:tc>
        <w:tc>
          <w:tcPr>
            <w:tcW w:w="5472"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Value</w:t>
            </w:r>
          </w:p>
        </w:tc>
      </w:tr>
      <w:tr>
        <w:tc>
          <w:tcPr>
            <w:tcW w:w="432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GCP project (reference)</w:t>
            </w:r>
          </w:p>
        </w:tc>
        <w:tc>
          <w:tcPr>
            <w:tcW w:w="547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cpe-slarbi-nvd-ant-demos</w:t>
            </w:r>
          </w:p>
        </w:tc>
      </w:tr>
      <w:tr>
        <w:tc>
          <w:tcPr>
            <w:tcW w:w="432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Region</w:t>
            </w:r>
          </w:p>
        </w:tc>
        <w:tc>
          <w:tcPr>
            <w:tcW w:w="547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us-central1</w:t>
            </w:r>
          </w:p>
        </w:tc>
      </w:tr>
      <w:tr>
        <w:tc>
          <w:tcPr>
            <w:tcW w:w="432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Model (orchestrator + tool)</w:t>
            </w:r>
          </w:p>
        </w:tc>
        <w:tc>
          <w:tcPr>
            <w:tcW w:w="547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claude-opus-4-7</w:t>
            </w:r>
          </w:p>
        </w:tc>
      </w:tr>
      <w:tr>
        <w:tc>
          <w:tcPr>
            <w:tcW w:w="432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Vertex endpoint</w:t>
            </w:r>
          </w:p>
        </w:tc>
        <w:tc>
          <w:tcPr>
            <w:tcW w:w="547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global (CLOUD_ML_REGION=global)</w:t>
            </w:r>
          </w:p>
        </w:tc>
      </w:tr>
      <w:tr>
        <w:tc>
          <w:tcPr>
            <w:tcW w:w="432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Claude Code on Vertex flag</w:t>
            </w:r>
          </w:p>
        </w:tc>
        <w:tc>
          <w:tcPr>
            <w:tcW w:w="547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CLAUDE_CODE_USE_VERTEX=1</w:t>
            </w:r>
          </w:p>
        </w:tc>
      </w:tr>
      <w:tr>
        <w:tc>
          <w:tcPr>
            <w:tcW w:w="432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Workspace bucket</w:t>
            </w:r>
          </w:p>
        </w:tc>
        <w:tc>
          <w:tcPr>
            <w:tcW w:w="547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&lt;project&gt;-cc-a2a-snapshots</w:t>
            </w:r>
          </w:p>
        </w:tc>
      </w:tr>
      <w:tr>
        <w:tc>
          <w:tcPr>
            <w:tcW w:w="432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Firestore database (named)</w:t>
            </w:r>
          </w:p>
        </w:tc>
        <w:tc>
          <w:tcPr>
            <w:tcW w:w="547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cc-on-ge</w:t>
            </w:r>
          </w:p>
        </w:tc>
      </w:tr>
      <w:tr>
        <w:tc>
          <w:tcPr>
            <w:tcW w:w="432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Sandbox claim name</w:t>
            </w:r>
          </w:p>
        </w:tc>
        <w:tc>
          <w:tcPr>
            <w:tcW w:w="547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cc-u-&lt;user_key&gt;</w:t>
            </w:r>
          </w:p>
        </w:tc>
      </w:tr>
      <w:tr>
        <w:tc>
          <w:tcPr>
            <w:tcW w:w="432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Sandbox port</w:t>
            </w:r>
          </w:p>
        </w:tc>
        <w:tc>
          <w:tcPr>
            <w:tcW w:w="547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9000</w:t>
            </w:r>
          </w:p>
        </w:tc>
      </w:tr>
      <w:tr>
        <w:tc>
          <w:tcPr>
            <w:tcW w:w="432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Idle teardown threshold</w:t>
            </w:r>
          </w:p>
        </w:tc>
        <w:tc>
          <w:tcPr>
            <w:tcW w:w="547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30 min</w:t>
            </w:r>
          </w:p>
        </w:tc>
      </w:tr>
      <w:tr>
        <w:tc>
          <w:tcPr>
            <w:tcW w:w="432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Cloud Run request timeout</w:t>
            </w:r>
          </w:p>
        </w:tc>
        <w:tc>
          <w:tcPr>
            <w:tcW w:w="547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1 hour</w:t>
            </w:r>
          </w:p>
        </w:tc>
      </w:tr>
      <w:tr>
        <w:tc>
          <w:tcPr>
            <w:tcW w:w="432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/workspace size</w:t>
            </w:r>
          </w:p>
        </w:tc>
        <w:tc>
          <w:tcPr>
            <w:tcW w:w="547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20 Gi standard-rwo</w:t>
            </w:r>
          </w:p>
        </w:tc>
      </w:tr>
      <w:tr>
        <w:tc>
          <w:tcPr>
            <w:tcW w:w="432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/workspace mount</w:t>
            </w:r>
          </w:p>
        </w:tc>
        <w:tc>
          <w:tcPr>
            <w:tcW w:w="547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noexec</w:t>
            </w:r>
          </w:p>
        </w:tc>
      </w:tr>
      <w:tr>
        <w:tc>
          <w:tcPr>
            <w:tcW w:w="432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Warm pool size</w:t>
            </w:r>
          </w:p>
        </w:tc>
        <w:tc>
          <w:tcPr>
            <w:tcW w:w="547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2</w:t>
            </w:r>
          </w:p>
        </w:tc>
      </w:tr>
      <w:tr>
        <w:tc>
          <w:tcPr>
            <w:tcW w:w="432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Node.js (for bundled Claude Code CLI)</w:t>
            </w:r>
          </w:p>
        </w:tc>
        <w:tc>
          <w:tcPr>
            <w:tcW w:w="547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20</w:t>
            </w:r>
          </w:p>
        </w:tc>
      </w:tr>
    </w:tbl>
    <w:p>
      <w:pPr>
        <w:spacing w:before="80" w:after="80"/>
      </w:pPr>
    </w:p>
    <w:p>
      <w:pPr>
        <w:spacing w:before="280" w:after="120" w:line="360" w:lineRule="exact"/>
      </w:pPr>
      <w:r>
        <w:rPr>
          <w:rFonts w:ascii="Calibri" w:hAnsi="Calibri" w:cs="Calibri" w:eastAsia="Calibri"/>
          <w:b/>
          <w:color w:val="141413"/>
          <w:sz w:val="28"/>
        </w:rPr>
        <w:t>B  Verified Gemini Enterprise MIME allowlist (Path A)</w:t>
      </w:r>
    </w:p>
    <w:p>
      <w:pPr>
        <w:spacing w:before="0" w:after="160" w:line="320" w:lineRule="exact"/>
      </w:pPr>
      <w:r>
        <w:rPr>
          <w:rFonts w:ascii="Calibri" w:hAnsi="Calibri" w:cs="Calibri" w:eastAsia="Calibri"/>
          <w:b w:val="0"/>
          <w:color w:val="202124"/>
          <w:sz w:val="22"/>
        </w:rPr>
        <w:t>These MIME types render as native chips in Gemini Enterprise (verified by direct test). Everything else routes through Path B.</w:t>
      </w:r>
    </w:p>
    <w:tbl>
      <w:tblPr>
        <w:tblW w:type="auto" w:w="0"/>
        <w:tblLayout w:type="fixed"/>
        <w:tblLook w:firstColumn="1" w:firstRow="1" w:lastColumn="0" w:lastRow="0" w:noHBand="0" w:noVBand="1" w:val="04A0"/>
        <w:tblW w:w="9360" w:type="dxa"/>
        <w:tblBorders>
          <w:top w:val="single" w:sz="4" w:color="F1F3F4"/>
          <w:left w:val="single" w:sz="4" w:color="F1F3F4"/>
          <w:bottom w:val="single" w:sz="4" w:color="F1F3F4"/>
          <w:right w:val="single" w:sz="4" w:color="F1F3F4"/>
          <w:insideH w:val="single" w:sz="4" w:color="F1F3F4"/>
          <w:insideV w:val="single" w:sz="4" w:color="F1F3F4"/>
        </w:tblBorders>
      </w:tblPr>
      <w:tblGrid>
        <w:gridCol w:w="4824"/>
        <w:gridCol w:w="4824"/>
      </w:tblGrid>
      <w:tr>
        <w:tc>
          <w:tcPr>
            <w:tcW w:w="7776"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MIME</w:t>
            </w:r>
          </w:p>
        </w:tc>
        <w:tc>
          <w:tcPr>
            <w:tcW w:w="2015"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Typical extension</w:t>
            </w:r>
          </w:p>
        </w:tc>
      </w:tr>
      <w:tr>
        <w:tc>
          <w:tcPr>
            <w:tcW w:w="7776"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image/png</w:t>
            </w:r>
          </w:p>
        </w:tc>
        <w:tc>
          <w:tcPr>
            <w:tcW w:w="2015"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.png</w:t>
            </w:r>
          </w:p>
        </w:tc>
      </w:tr>
      <w:tr>
        <w:tc>
          <w:tcPr>
            <w:tcW w:w="7776"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image/jpeg</w:t>
            </w:r>
          </w:p>
        </w:tc>
        <w:tc>
          <w:tcPr>
            <w:tcW w:w="2015"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.jpg / .jpeg</w:t>
            </w:r>
          </w:p>
        </w:tc>
      </w:tr>
      <w:tr>
        <w:tc>
          <w:tcPr>
            <w:tcW w:w="7776"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application/pdf</w:t>
            </w:r>
          </w:p>
        </w:tc>
        <w:tc>
          <w:tcPr>
            <w:tcW w:w="2015"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.pdf</w:t>
            </w:r>
          </w:p>
        </w:tc>
      </w:tr>
      <w:tr>
        <w:tc>
          <w:tcPr>
            <w:tcW w:w="7776"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text/csv</w:t>
            </w:r>
          </w:p>
        </w:tc>
        <w:tc>
          <w:tcPr>
            <w:tcW w:w="2015"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.csv</w:t>
            </w:r>
          </w:p>
        </w:tc>
      </w:tr>
      <w:tr>
        <w:tc>
          <w:tcPr>
            <w:tcW w:w="7776"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text/plain</w:t>
            </w:r>
          </w:p>
        </w:tc>
        <w:tc>
          <w:tcPr>
            <w:tcW w:w="2015"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.txt</w:t>
            </w:r>
          </w:p>
        </w:tc>
      </w:tr>
      <w:tr>
        <w:tc>
          <w:tcPr>
            <w:tcW w:w="7776"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application/json</w:t>
            </w:r>
          </w:p>
        </w:tc>
        <w:tc>
          <w:tcPr>
            <w:tcW w:w="2015"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.json</w:t>
            </w:r>
          </w:p>
        </w:tc>
      </w:tr>
      <w:tr>
        <w:tc>
          <w:tcPr>
            <w:tcW w:w="7776"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application/vnd.openxmlformats-officedocument.wordprocessingml.document</w:t>
            </w:r>
          </w:p>
        </w:tc>
        <w:tc>
          <w:tcPr>
            <w:tcW w:w="2015"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.docx</w:t>
            </w:r>
          </w:p>
        </w:tc>
      </w:tr>
      <w:tr>
        <w:tc>
          <w:tcPr>
            <w:tcW w:w="7776"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application/vnd.openxmlformats-officedocument.spreadsheetml.sheet</w:t>
            </w:r>
          </w:p>
        </w:tc>
        <w:tc>
          <w:tcPr>
            <w:tcW w:w="2015"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.xlsx</w:t>
            </w:r>
          </w:p>
        </w:tc>
      </w:tr>
      <w:tr>
        <w:tc>
          <w:tcPr>
            <w:tcW w:w="7776"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application/vnd.openxmlformats-officedocument.presentationml.presentation</w:t>
            </w:r>
          </w:p>
        </w:tc>
        <w:tc>
          <w:tcPr>
            <w:tcW w:w="2015"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.pptx</w:t>
            </w:r>
          </w:p>
        </w:tc>
      </w:tr>
    </w:tbl>
    <w:p>
      <w:pPr>
        <w:spacing w:before="80" w:after="80"/>
      </w:pPr>
    </w:p>
    <w:p>
      <w:pPr>
        <w:spacing w:before="280" w:after="120" w:line="360" w:lineRule="exact"/>
      </w:pPr>
      <w:r>
        <w:rPr>
          <w:rFonts w:ascii="Calibri" w:hAnsi="Calibri" w:cs="Calibri" w:eastAsia="Calibri"/>
          <w:b/>
          <w:color w:val="141413"/>
          <w:sz w:val="28"/>
        </w:rPr>
        <w:t>C  Dependency pin rationale</w:t>
      </w:r>
    </w:p>
    <w:p>
      <w:pPr>
        <w:spacing w:before="0" w:after="160" w:line="320" w:lineRule="exact"/>
      </w:pPr>
      <w:r>
        <w:rPr>
          <w:rFonts w:ascii="Calibri" w:hAnsi="Calibri" w:cs="Calibri" w:eastAsia="Calibri"/>
          <w:b w:val="0"/>
          <w:color w:val="202124"/>
          <w:sz w:val="22"/>
        </w:rPr>
        <w:t>The bridge image pins two transitive dependencies explicitly on the Dockerfile RUN lines (the actual install source). The pins are recorded in requirements.txt as parallel documentation but are load-bearing on the Dockerfile.</w:t>
      </w:r>
    </w:p>
    <w:tbl>
      <w:tblPr>
        <w:tblW w:type="auto" w:w="0"/>
        <w:tblLayout w:type="fixed"/>
        <w:tblLook w:firstColumn="1" w:firstRow="1" w:lastColumn="0" w:lastRow="0" w:noHBand="0" w:noVBand="1" w:val="04A0"/>
        <w:tblW w:w="9360" w:type="dxa"/>
        <w:tblBorders>
          <w:top w:val="single" w:sz="4" w:color="F1F3F4"/>
          <w:left w:val="single" w:sz="4" w:color="F1F3F4"/>
          <w:bottom w:val="single" w:sz="4" w:color="F1F3F4"/>
          <w:right w:val="single" w:sz="4" w:color="F1F3F4"/>
          <w:insideH w:val="single" w:sz="4" w:color="F1F3F4"/>
          <w:insideV w:val="single" w:sz="4" w:color="F1F3F4"/>
        </w:tblBorders>
      </w:tblPr>
      <w:tblGrid>
        <w:gridCol w:w="3216"/>
        <w:gridCol w:w="3216"/>
        <w:gridCol w:w="3216"/>
      </w:tblGrid>
      <w:tr>
        <w:tc>
          <w:tcPr>
            <w:tcW w:w="2160"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Package</w:t>
            </w:r>
          </w:p>
        </w:tc>
        <w:tc>
          <w:tcPr>
            <w:tcW w:w="1584"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Pin</w:t>
            </w:r>
          </w:p>
        </w:tc>
        <w:tc>
          <w:tcPr>
            <w:tcW w:w="6048"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Rationale</w:t>
            </w:r>
          </w:p>
        </w:tc>
      </w:tr>
      <w:tr>
        <w:tc>
          <w:tcPr>
            <w:tcW w:w="216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kubernetes</w:t>
            </w:r>
          </w:p>
        </w:tc>
        <w:tc>
          <w:tcPr>
            <w:tcW w:w="158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==35.0.0</w:t>
            </w:r>
          </w:p>
        </w:tc>
        <w:tc>
          <w:tcPr>
            <w:tcW w:w="60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kubernetes-36 (released May 2026) introduced an aiohttp-based async client whose auth wiring is rejected by the GKE control plane, producing 401 on every SandboxClaim CRUD. Re-test before bumping.</w:t>
            </w:r>
          </w:p>
        </w:tc>
      </w:tr>
      <w:tr>
        <w:tc>
          <w:tcPr>
            <w:tcW w:w="216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google-auth</w:t>
            </w:r>
          </w:p>
        </w:tc>
        <w:tc>
          <w:tcPr>
            <w:tcW w:w="1584"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==2.52.0</w:t>
            </w:r>
          </w:p>
        </w:tc>
        <w:tc>
          <w:tcPr>
            <w:tcW w:w="6048"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Precautionary, paired with the kubernetes pin because google-auth produces the token kubernetes uses. 2.52.0 was the version in the working phase8-r1 build.</w:t>
            </w:r>
          </w:p>
        </w:tc>
      </w:tr>
      <w:tr>
        <w:tc>
          <w:tcPr>
            <w:tcW w:w="216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a2a-sdk</w:t>
            </w:r>
          </w:p>
        </w:tc>
        <w:tc>
          <w:tcPr>
            <w:tcW w:w="1584"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==0.2.13</w:t>
            </w:r>
          </w:p>
        </w:tc>
        <w:tc>
          <w:tcPr>
            <w:tcW w:w="6048"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0.2.14 was yanked upstream ("gRPC requirements handled incorrectly"); 0.2.13 matches the a2a-protocol reference skill.</w:t>
            </w:r>
          </w:p>
        </w:tc>
      </w:tr>
    </w:tbl>
    <w:p>
      <w:pPr>
        <w:spacing w:before="80" w:after="80"/>
      </w:pPr>
    </w:p>
    <w:p>
      <w:pPr>
        <w:spacing w:before="280" w:after="120" w:line="360" w:lineRule="exact"/>
      </w:pPr>
      <w:r>
        <w:rPr>
          <w:rFonts w:ascii="Calibri" w:hAnsi="Calibri" w:cs="Calibri" w:eastAsia="Calibri"/>
          <w:b/>
          <w:color w:val="141413"/>
          <w:sz w:val="28"/>
        </w:rPr>
        <w:t>D  CUJ acceptance criteria</w:t>
      </w:r>
    </w:p>
    <w:p>
      <w:pPr>
        <w:spacing w:before="0" w:after="160" w:line="320" w:lineRule="exact"/>
      </w:pPr>
      <w:r>
        <w:rPr>
          <w:rFonts w:ascii="Calibri" w:hAnsi="Calibri" w:cs="Calibri" w:eastAsia="Calibri"/>
          <w:b w:val="0"/>
          <w:color w:val="202124"/>
          <w:sz w:val="22"/>
        </w:rPr>
        <w:t>A Critical User Journey is considered passing when all of the following are true for a real Gemini Enterprise thread test:</w:t>
      </w:r>
    </w:p>
    <w:p>
      <w:pPr>
        <w:pStyle w:val="ListBullet"/>
        <w:spacing w:before="0" w:after="80" w:line="320" w:lineRule="exact"/>
      </w:pPr>
      <w:r>
        <w:rPr>
          <w:rFonts w:ascii="Calibri" w:hAnsi="Calibri" w:cs="Calibri" w:eastAsia="Calibri"/>
          <w:b w:val="0"/>
          <w:color w:val="202124"/>
          <w:sz w:val="22"/>
        </w:rPr>
        <w:t>The user's prompt produces a streaming response visible in the working pane within 3 seconds of submission.</w:t>
      </w:r>
    </w:p>
    <w:p>
      <w:pPr>
        <w:pStyle w:val="ListBullet"/>
        <w:spacing w:before="0" w:after="80" w:line="320" w:lineRule="exact"/>
      </w:pPr>
      <w:r>
        <w:rPr>
          <w:rFonts w:ascii="Calibri" w:hAnsi="Calibri" w:cs="Calibri" w:eastAsia="Calibri"/>
          <w:b w:val="0"/>
          <w:color w:val="202124"/>
          <w:sz w:val="22"/>
        </w:rPr>
        <w:t>Tool calls render as collapsed cards in the working pane with their parameter values visible on expand.</w:t>
      </w:r>
    </w:p>
    <w:p>
      <w:pPr>
        <w:pStyle w:val="ListBullet"/>
        <w:spacing w:before="0" w:after="80" w:line="320" w:lineRule="exact"/>
      </w:pPr>
      <w:r>
        <w:rPr>
          <w:rFonts w:ascii="Calibri" w:hAnsi="Calibri" w:cs="Calibri" w:eastAsia="Calibri"/>
          <w:b w:val="0"/>
          <w:color w:val="202124"/>
          <w:sz w:val="22"/>
        </w:rPr>
        <w:t>The agent's text reply describes the artifact in plain language and includes either a native download chip (Path A) or a clickable link (Path B).</w:t>
      </w:r>
    </w:p>
    <w:p>
      <w:pPr>
        <w:pStyle w:val="ListBullet"/>
        <w:spacing w:before="0" w:after="80" w:line="320" w:lineRule="exact"/>
      </w:pPr>
      <w:r>
        <w:rPr>
          <w:rFonts w:ascii="Calibri" w:hAnsi="Calibri" w:cs="Calibri" w:eastAsia="Calibri"/>
          <w:b w:val="0"/>
          <w:color w:val="202124"/>
          <w:sz w:val="22"/>
        </w:rPr>
        <w:t>Clicking the chip or link downloads the file as an attachment — no inline browser rendering.</w:t>
      </w:r>
    </w:p>
    <w:p>
      <w:pPr>
        <w:pStyle w:val="ListBullet"/>
        <w:spacing w:before="0" w:after="80" w:line="320" w:lineRule="exact"/>
      </w:pPr>
      <w:r>
        <w:rPr>
          <w:rFonts w:ascii="Calibri" w:hAnsi="Calibri" w:cs="Calibri" w:eastAsia="Calibri"/>
          <w:b w:val="0"/>
          <w:color w:val="202124"/>
          <w:sz w:val="22"/>
        </w:rPr>
        <w:t>The downloaded file is well-formed for its declared MIME type (opens correctly in the default application).</w:t>
      </w:r>
    </w:p>
    <w:p>
      <w:pPr>
        <w:pStyle w:val="ListBullet"/>
        <w:spacing w:before="0" w:after="80" w:line="320" w:lineRule="exact"/>
      </w:pPr>
      <w:r>
        <w:rPr>
          <w:rFonts w:ascii="Calibri" w:hAnsi="Calibri" w:cs="Calibri" w:eastAsia="Calibri"/>
          <w:b w:val="0"/>
          <w:color w:val="202124"/>
          <w:sz w:val="22"/>
        </w:rPr>
        <w:t>A follow-up turn in the same thread successfully reads the file from workspace state and can iterate on it.</w:t>
      </w:r>
    </w:p>
    <w:p>
      <w:pPr>
        <w:spacing w:before="280" w:after="120" w:line="360" w:lineRule="exact"/>
      </w:pPr>
      <w:r>
        <w:rPr>
          <w:rFonts w:ascii="Calibri" w:hAnsi="Calibri" w:cs="Calibri" w:eastAsia="Calibri"/>
          <w:b/>
          <w:color w:val="141413"/>
          <w:sz w:val="28"/>
        </w:rPr>
        <w:t>E  Glossary</w:t>
      </w:r>
    </w:p>
    <w:tbl>
      <w:tblPr>
        <w:tblW w:type="auto" w:w="0"/>
        <w:tblLayout w:type="fixed"/>
        <w:tblLook w:firstColumn="1" w:firstRow="1" w:lastColumn="0" w:lastRow="0" w:noHBand="0" w:noVBand="1" w:val="04A0"/>
        <w:tblW w:w="9360" w:type="dxa"/>
        <w:tblBorders>
          <w:top w:val="single" w:sz="4" w:color="F1F3F4"/>
          <w:left w:val="single" w:sz="4" w:color="F1F3F4"/>
          <w:bottom w:val="single" w:sz="4" w:color="F1F3F4"/>
          <w:right w:val="single" w:sz="4" w:color="F1F3F4"/>
          <w:insideH w:val="single" w:sz="4" w:color="F1F3F4"/>
          <w:insideV w:val="single" w:sz="4" w:color="F1F3F4"/>
        </w:tblBorders>
      </w:tblPr>
      <w:tblGrid>
        <w:gridCol w:w="4824"/>
        <w:gridCol w:w="4824"/>
      </w:tblGrid>
      <w:tr>
        <w:tc>
          <w:tcPr>
            <w:tcW w:w="2592"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Term</w:t>
            </w:r>
          </w:p>
        </w:tc>
        <w:tc>
          <w:tcPr>
            <w:tcW w:w="7200" w:type="dxa"/>
            <w:shd w:val="clear" w:color="auto" w:fill="1A73E8"/>
            <w:tcMar>
              <w:top w:w="86" w:type="dxa"/>
              <w:left w:w="144" w:type="dxa"/>
              <w:bottom w:w="86" w:type="dxa"/>
              <w:right w:w="144" w:type="dxa"/>
            </w:tcMar>
            <w:vAlign w:val="center"/>
          </w:tcPr>
          <w:p>
            <w:pPr>
              <w:spacing w:before="0" w:after="0" w:line="280" w:lineRule="exact"/>
            </w:pPr>
            <w:r>
              <w:rPr>
                <w:rFonts w:ascii="Calibri" w:hAnsi="Calibri" w:cs="Calibri" w:eastAsia="Calibri"/>
                <w:b/>
                <w:color w:val="FFFFFF"/>
                <w:sz w:val="21"/>
                <w:spacing w:val="10"/>
              </w:rPr>
              <w:t>Meaning</w:t>
            </w:r>
          </w:p>
        </w:tc>
      </w:tr>
      <w:tr>
        <w:tc>
          <w:tcPr>
            <w:tcW w:w="259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A2A</w:t>
            </w:r>
          </w:p>
        </w:tc>
        <w:tc>
          <w:tcPr>
            <w:tcW w:w="720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Agent-to-Agent protocol. The JSON-RPC over SSE protocol Gemini Enterprise Discovery Engine uses to call out to gallery agents.</w:t>
            </w:r>
          </w:p>
        </w:tc>
      </w:tr>
      <w:tr>
        <w:tc>
          <w:tcPr>
            <w:tcW w:w="259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ADK</w:t>
            </w:r>
          </w:p>
        </w:tc>
        <w:tc>
          <w:tcPr>
            <w:tcW w:w="720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Agent Development Kit. Google's open-source Python framework for building tool-using agents.</w:t>
            </w:r>
          </w:p>
        </w:tc>
      </w:tr>
      <w:tr>
        <w:tc>
          <w:tcPr>
            <w:tcW w:w="259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Agent Sandbox</w:t>
            </w:r>
          </w:p>
        </w:tc>
        <w:tc>
          <w:tcPr>
            <w:tcW w:w="720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GKE Autopilot addon (extensions.agents.x-k8s.io API group) that provides SandboxTemplate, SandboxClaim, and SandboxWarmPool CRDs for per-user pod lifecycle.</w:t>
            </w:r>
          </w:p>
        </w:tc>
      </w:tr>
      <w:tr>
        <w:tc>
          <w:tcPr>
            <w:tcW w:w="259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context_id</w:t>
            </w:r>
          </w:p>
        </w:tc>
        <w:tc>
          <w:tcPr>
            <w:tcW w:w="720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A2A protocol identifier for a single GE chat thread. Maps 1:1 to an ADK Session in the backend pod.</w:t>
            </w:r>
          </w:p>
        </w:tc>
      </w:tr>
      <w:tr>
        <w:tc>
          <w:tcPr>
            <w:tcW w:w="259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CUJ</w:t>
            </w:r>
          </w:p>
        </w:tc>
        <w:tc>
          <w:tcPr>
            <w:tcW w:w="720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Critical User Journey. The end-to-end user flow that defines acceptance for a feature or release.</w:t>
            </w:r>
          </w:p>
        </w:tc>
      </w:tr>
      <w:tr>
        <w:tc>
          <w:tcPr>
            <w:tcW w:w="259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Discovery Engine</w:t>
            </w:r>
          </w:p>
        </w:tc>
        <w:tc>
          <w:tcPr>
            <w:tcW w:w="720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The Gemini Enterprise component that hosts the agent gallery and routes A2A requests.</w:t>
            </w:r>
          </w:p>
        </w:tc>
      </w:tr>
      <w:tr>
        <w:tc>
          <w:tcPr>
            <w:tcW w:w="259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Downscoped STS token</w:t>
            </w:r>
          </w:p>
        </w:tc>
        <w:tc>
          <w:tcPr>
            <w:tcW w:w="720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 short-lived Google Cloud token derived from a service account credential and scoped to a narrower IAM surface via a Credential Access Boundary CEL expression.</w:t>
            </w:r>
          </w:p>
        </w:tc>
      </w:tr>
      <w:tr>
        <w:tc>
          <w:tcPr>
            <w:tcW w:w="259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FileWithBytes</w:t>
            </w:r>
          </w:p>
        </w:tc>
        <w:tc>
          <w:tcPr>
            <w:tcW w:w="720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A2A response artifact containing base64-encoded file content. The Path A delivery mechanism.</w:t>
            </w:r>
          </w:p>
        </w:tc>
      </w:tr>
      <w:tr>
        <w:tc>
          <w:tcPr>
            <w:tcW w:w="259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Path A / Path B</w:t>
            </w:r>
          </w:p>
        </w:tc>
        <w:tc>
          <w:tcPr>
            <w:tcW w:w="720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Project shorthand for the two artifact-delivery modes: inline FileWithBytes (Path A) vs signed Cloud Storage URL embedded in agent reply (Path B).</w:t>
            </w:r>
          </w:p>
        </w:tc>
      </w:tr>
      <w:tr>
        <w:tc>
          <w:tcPr>
            <w:tcW w:w="259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SandboxClaim</w:t>
            </w:r>
          </w:p>
        </w:tc>
        <w:tc>
          <w:tcPr>
            <w:tcW w:w="720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GKE Agent Sandbox CRD representing a user's binding to a sandbox pod. Created by the bridge as cc-u-&lt;user_key&gt;.</w:t>
            </w:r>
          </w:p>
        </w:tc>
      </w:tr>
      <w:tr>
        <w:tc>
          <w:tcPr>
            <w:tcW w:w="2592"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task_id</w:t>
            </w:r>
          </w:p>
        </w:tc>
        <w:tc>
          <w:tcPr>
            <w:tcW w:w="7200" w:type="dxa"/>
            <w:shd w:val="clear" w:color="auto" w:fill="F8F4ED"/>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A2A identifier for a single user turn within a context_id.</w:t>
            </w:r>
          </w:p>
        </w:tc>
      </w:tr>
      <w:tr>
        <w:tc>
          <w:tcPr>
            <w:tcW w:w="2592"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user_key</w:t>
            </w:r>
          </w:p>
        </w:tc>
        <w:tc>
          <w:tcPr>
            <w:tcW w:w="7200" w:type="dxa"/>
            <w:shd w:val="clear" w:color="auto" w:fill="FFFFFF"/>
            <w:tcMar>
              <w:top w:w="86" w:type="dxa"/>
              <w:left w:w="144" w:type="dxa"/>
              <w:bottom w:w="86" w:type="dxa"/>
              <w:right w:w="144" w:type="dxa"/>
            </w:tcMar>
          </w:tcPr>
          <w:p>
            <w:pPr>
              <w:spacing w:before="0" w:after="0" w:line="280" w:lineRule="exact"/>
            </w:pPr>
            <w:r>
              <w:rPr>
                <w:rFonts w:ascii="Calibri" w:hAnsi="Calibri" w:cs="Calibri" w:eastAsia="Calibri"/>
                <w:b w:val="0"/>
                <w:color w:val="202124"/>
                <w:sz w:val="20"/>
              </w:rPr>
              <w:t>Short SHA256 hash of the user's email or OAuth subject. The PII-free identifier used in K8s resource names, GCS prefixes, and Firestore documents.</w:t>
            </w:r>
          </w:p>
        </w:tc>
      </w:tr>
    </w:tbl>
    <w:p>
      <w:pPr>
        <w:spacing w:before="80" w:after="80"/>
      </w:pPr>
    </w:p>
    <w:sectPr w:rsidR="00FC693F" w:rsidRPr="0006063C" w:rsidSect="00034616">
      <w:headerReference w:type="default" r:id="rId9"/>
      <w:footerReference w:type="default" r:id="rId10"/>
      <w:pgSz w:w="12240" w:h="15840"/>
      <w:pgMar w:top="1296" w:right="1296" w:bottom="1296" w:left="1296" w:header="576" w:footer="576"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right" w:pos="9504"/>
      </w:tabs>
    </w:pPr>
    <w:r>
      <w:rPr>
        <w:rFonts w:ascii="Calibri" w:hAnsi="Calibri" w:cs="Calibri" w:eastAsia="Calibri"/>
        <w:b w:val="0"/>
        <w:color w:val="5F6368"/>
        <w:sz w:val="18"/>
      </w:rPr>
      <w:t>Confidential — Engineering Reference</w:t>
    </w:r>
    <w:r>
      <w:rPr>
        <w:rFonts w:ascii="Calibri" w:hAnsi="Calibri"/>
      </w:rPr>
      <w:tab/>
    </w:r>
    <w:r>
      <w:rPr>
        <w:rFonts w:ascii="Calibri" w:hAnsi="Calibri" w:cs="Calibri" w:eastAsia="Calibri"/>
        <w:b w:val="0"/>
        <w:color w:val="5F6368"/>
        <w:sz w:val="18"/>
      </w:rPr>
      <w:t xml:space="preserve">Page  </w:t>
    </w:r>
    <w:r>
      <w:rPr>
        <w:rFonts w:ascii="Calibri" w:hAnsi="Calibri" w:cs="Calibri" w:eastAsia="Calibri"/>
        <w:sz w:val="18"/>
        <w:color w:val="5F636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4" w:space="4" w:color="F1F3F4"/>
      </w:pBdr>
      <w:tabs>
        <w:tab w:val="right" w:pos="9504"/>
      </w:tabs>
    </w:pPr>
    <w:r>
      <w:rPr>
        <w:rFonts w:ascii="Calibri" w:hAnsi="Calibri" w:cs="Calibri" w:eastAsia="Calibri"/>
        <w:b w:val="0"/>
        <w:color w:val="5F6368"/>
        <w:sz w:val="18"/>
      </w:rPr>
      <w:t xml:space="preserve">Claude Powered Agents for Google Cloud  </w:t>
    </w:r>
    <w:r>
      <w:rPr>
        <w:rFonts w:ascii="Calibri" w:hAnsi="Calibri" w:cs="Calibri" w:eastAsia="Calibri"/>
        <w:b w:val="0"/>
        <w:color w:val="5F6368"/>
        <w:sz w:val="18"/>
      </w:rPr>
      <w:t>•  Engineering Design Document</w:t>
    </w:r>
    <w:r>
      <w:rPr>
        <w:rFonts w:ascii="Calibri" w:hAnsi="Calibri"/>
      </w:rPr>
      <w:tab/>
    </w:r>
    <w:r>
      <w:rPr>
        <w:rFonts w:ascii="Calibri" w:hAnsi="Calibri" w:cs="Calibri" w:eastAsia="Calibri"/>
        <w:b w:val="0"/>
        <w:color w:val="5F6368"/>
        <w:sz w:val="18"/>
        <w:spacing w:val="30"/>
      </w:rPr>
      <w:t>CO-INNOVATION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