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JDE Row Security: Questions for Expert Review</w:t>
      </w:r>
    </w:p>
    <w:p>
      <w:pPr/>
      <w:r>
        <w:t xml:space="preserve">Oct 8, 2026</w:t>
      </w:r>
      <w:r>
        <w:t xml:space="preserve"> · </w:t>
      </w:r>
      <w:r>
        <w:t xml:space="preserve">@Borkur</w:t>
      </w:r>
    </w:p>
    <w:p>
      <w:pPr/>
      <w:r>
        <w:t xml:space="preserve">We need a JD Edwards EnterpriseOne 9.2 expert to confirm or correct 14 answers an AI drafted about row security, so we can build a database-side security layer for Gemini for Government.</w:t>
      </w:r>
    </w:p>
    <w:p>
      <w:pPr>
        <w:pStyle w:val="Heading2"/>
      </w:pPr>
      <w:r>
        <w:t xml:space="preserve">How to use this document</w:t>
      </w:r>
    </w:p>
    <w:p>
      <w:pPr>
        <w:pStyle w:val="ListParagraph"/>
        <w:numPr>
          <w:ilvl w:val="0"/>
          <w:numId w:val="2"/>
        </w:numPr>
      </w:pPr>
      <w:r>
        <w:rPr>
          <w:b/>
        </w:rPr>
        <w:t xml:space="preserve">Part A</w:t>
      </w:r>
      <w:r>
        <w:t xml:space="preserve"> holds the 14 questions with an AI-drafted answer, a confidence level and the evidence behind it. Read it in order or jump to a question.</w:t>
      </w:r>
    </w:p>
    <w:p>
      <w:pPr>
        <w:pStyle w:val="ListParagraph"/>
        <w:numPr>
          <w:ilvl w:val="0"/>
          <w:numId w:val="2"/>
        </w:numPr>
      </w:pPr>
      <w:r>
        <w:rPr>
          <w:b/>
        </w:rPr>
        <w:t xml:space="preserve">Part B</w:t>
      </w:r>
      <w:r>
        <w:t xml:space="preserve"> is yours: for each question mark </w:t>
      </w:r>
      <w:r>
        <w:rPr>
          <w:i/>
        </w:rPr>
        <w:t xml:space="preserve">Agree</w:t>
      </w:r>
      <w:r>
        <w:t xml:space="preserve">, </w:t>
      </w:r>
      <w:r>
        <w:rPr>
          <w:i/>
        </w:rPr>
        <w:t xml:space="preserve">Correct it</w:t>
      </w:r>
      <w:r>
        <w:t xml:space="preserve"> or </w:t>
      </w:r>
      <w:r>
        <w:rPr>
          <w:i/>
        </w:rPr>
        <w:t xml:space="preserve">Don't know</w:t>
      </w:r>
      <w:r>
        <w:t xml:space="preserve">, and add detail where you can. Two or three questions matter most (marked </w:t>
      </w:r>
      <w:r>
        <w:rPr>
          <w:b/>
        </w:rPr>
        <w:t xml:space="preserve">Priority</w:t>
      </w:r>
      <w:r>
        <w:t xml:space="preserve">).</w:t>
      </w:r>
    </w:p>
    <w:p>
      <w:pPr>
        <w:pStyle w:val="ListParagraph"/>
        <w:numPr>
          <w:ilvl w:val="0"/>
          <w:numId w:val="2"/>
        </w:numPr>
      </w:pPr>
      <w:r>
        <w:t xml:space="preserve">Please also send the sample data requested at the end of Part B. It would let us test against real rules instead of inferences.</w:t>
      </w:r>
    </w:p>
    <w:p>
      <w:pPr/>
      <w:r>
        <w:rPr>
          <w:b/>
        </w:rPr>
        <w:t xml:space="preserve">The AI answers were written by "Pythian-AI-JDE-Expert", an AI acting as a JDE functional analyst, not a human.</w:t>
      </w:r>
      <w:r>
        <w:t xml:space="preserve"> They come from Oracle and community documentation, queries against a JDE 9.2 test database, and general JDE knowledge. Nothing was tested in a running JDE application.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Confidence</w:t>
            </w:r>
          </w:p>
        </w:tc>
        <w:tc>
          <w:tcPr>
            <w:tcW w:w="4680" w:type="dxa"/>
            <w:shd w:val="clear" w:color="auto" w:fill="F2F2F2"/>
          </w:tcPr>
          <w:p>
            <w:pPr/>
            <w:r>
              <w:t xml:space="preserve">Meaning</w:t>
            </w:r>
          </w:p>
        </w:tc>
      </w:tr>
      <w:tr>
        <w:tc>
          <w:tcPr>
            <w:tcW w:w="4680" w:type="dxa"/>
          </w:tcPr>
          <w:p>
            <w:pPr/>
            <w:r>
              <w:rPr>
                <w:b/>
              </w:rPr>
              <w:t xml:space="preserve">High</w:t>
            </w:r>
          </w:p>
        </w:tc>
        <w:tc>
          <w:tcPr>
            <w:tcW w:w="4680" w:type="dxa"/>
          </w:tcPr>
          <w:p>
            <w:pPr/>
            <w:r>
              <w:t xml:space="preserve">Stated by Oracle, or proven by data in the test database</w:t>
            </w:r>
          </w:p>
        </w:tc>
      </w:tr>
      <w:tr>
        <w:tc>
          <w:tcPr>
            <w:tcW w:w="4680" w:type="dxa"/>
          </w:tcPr>
          <w:p>
            <w:pPr/>
            <w:r>
              <w:rPr>
                <w:b/>
              </w:rPr>
              <w:t xml:space="preserve">Medium</w:t>
            </w:r>
          </w:p>
        </w:tc>
        <w:tc>
          <w:tcPr>
            <w:tcW w:w="4680" w:type="dxa"/>
          </w:tcPr>
          <w:p>
            <w:pPr/>
            <w:r>
              <w:t xml:space="preserve">Consistent sources or a strong inference</w:t>
            </w:r>
          </w:p>
        </w:tc>
      </w:tr>
      <w:tr>
        <w:tc>
          <w:tcPr>
            <w:tcW w:w="4680" w:type="dxa"/>
          </w:tcPr>
          <w:p>
            <w:pPr/>
            <w:r>
              <w:rPr>
                <w:b/>
              </w:rPr>
              <w:t xml:space="preserve">Low</w:t>
            </w:r>
          </w:p>
        </w:tc>
        <w:tc>
          <w:tcPr>
            <w:tcW w:w="4680" w:type="dxa"/>
          </w:tcPr>
          <w:p>
            <w:pPr/>
            <w:r>
              <w:t xml:space="preserve">Best reading only; please confirm before we rely on it</w:t>
            </w:r>
          </w:p>
        </w:tc>
      </w:tr>
    </w:tbl>
    <w:p>
      <w:pPr>
        <w:pStyle w:val="Heading2"/>
      </w:pPr>
      <w:r>
        <w:t xml:space="preserve">Background</w:t>
      </w:r>
    </w:p>
    <w:p>
      <w:pPr/>
      <w:r>
        <w:t xml:space="preserve">We give an AI assistant read-only SQL access to JDE through MCP tools. JDE enforces row security in its application server, not the database, so a direct SQL connection sees every row. We want to reproduce the user's row security in the database, using a PL/SQL package that identifies the user and an Oracle row-level filter (VPD) built from the user's </w:t>
      </w:r>
      <w:r>
        <w:rPr>
          <w:rStyle w:val="CodeChar"/>
        </w:rPr>
        <w:t xml:space="preserve">F00950</w:t>
      </w:r>
      <w:r>
        <w:t xml:space="preserve"> rules.</w:t>
      </w:r>
    </w:p>
    <w:p>
      <w:pPr/>
      <w:r>
        <w:rPr>
          <w:b/>
        </w:rPr>
        <w:t xml:space="preserve">What we found in a JDE 9.2 test database (Oracle 19c):</w:t>
      </w:r>
    </w:p>
    <w:p>
      <w:pPr>
        <w:pStyle w:val="ListParagraph"/>
        <w:numPr>
          <w:ilvl w:val="0"/>
          <w:numId w:val="3"/>
        </w:numPr>
      </w:pPr>
      <w:r>
        <w:rPr>
          <w:rStyle w:val="CodeChar"/>
        </w:rPr>
        <w:t xml:space="preserve">SY920.F00950</w:t>
      </w:r>
      <w:r>
        <w:t xml:space="preserve"> has 20 rows and none is row security (type 4): 18 of type </w:t>
      </w:r>
      <w:r>
        <w:rPr>
          <w:rStyle w:val="CodeChar"/>
        </w:rPr>
        <w:t xml:space="preserve">9</w:t>
      </w:r>
      <w:r>
        <w:t xml:space="preserve">, one </w:t>
      </w:r>
      <w:r>
        <w:rPr>
          <w:rStyle w:val="CodeChar"/>
        </w:rPr>
        <w:t xml:space="preserve">B</w:t>
      </w:r>
      <w:r>
        <w:t xml:space="preserve">, one </w:t>
      </w:r>
      <w:r>
        <w:rPr>
          <w:rStyle w:val="CodeChar"/>
        </w:rPr>
        <w:t xml:space="preserve">S</w:t>
      </w:r>
      <w:r>
        <w:t xml:space="preserve">. No sample rules exist to learn from.</w:t>
      </w:r>
    </w:p>
    <w:p>
      <w:pPr>
        <w:pStyle w:val="ListParagraph"/>
        <w:numPr>
          <w:ilvl w:val="0"/>
          <w:numId w:val="3"/>
        </w:numPr>
      </w:pPr>
      <w:r>
        <w:t xml:space="preserve">No VPD policies exist on the JDE schemas.</w:t>
      </w:r>
    </w:p>
    <w:p>
      <w:pPr>
        <w:pStyle w:val="ListParagraph"/>
        <w:numPr>
          <w:ilvl w:val="0"/>
          <w:numId w:val="3"/>
        </w:numPr>
      </w:pPr>
      <w:r>
        <w:t xml:space="preserve">All five users that have an address book number share </w:t>
      </w:r>
      <w:r>
        <w:rPr>
          <w:rStyle w:val="CodeChar"/>
        </w:rPr>
        <w:t xml:space="preserve">AN8 = 1</w:t>
      </w:r>
      <w:r>
        <w:t xml:space="preserve">, which has no e-mail row. Looking up a user by e-mail finds nobody.</w:t>
      </w:r>
    </w:p>
    <w:p>
      <w:pPr>
        <w:pStyle w:val="ListParagraph"/>
        <w:numPr>
          <w:ilvl w:val="0"/>
          <w:numId w:val="3"/>
        </w:numPr>
      </w:pPr>
      <w:r>
        <w:rPr>
          <w:rStyle w:val="CodeChar"/>
        </w:rPr>
        <w:t xml:space="preserve">DD920.F9210.FRSCFG = 'Y'</w:t>
      </w:r>
      <w:r>
        <w:t xml:space="preserve"> flags 538 data items as row-securable, including </w:t>
      </w:r>
      <w:r>
        <w:rPr>
          <w:rStyle w:val="CodeChar"/>
        </w:rPr>
        <w:t xml:space="preserve">MCU</w:t>
      </w:r>
      <w:r>
        <w:t xml:space="preserve">, </w:t>
      </w:r>
      <w:r>
        <w:rPr>
          <w:rStyle w:val="CodeChar"/>
        </w:rPr>
        <w:t xml:space="preserve">CO</w:t>
      </w:r>
      <w:r>
        <w:t xml:space="preserve"> and </w:t>
      </w:r>
      <w:r>
        <w:rPr>
          <w:rStyle w:val="CodeChar"/>
        </w:rPr>
        <w:t xml:space="preserve">AN8</w:t>
      </w:r>
      <w:r>
        <w:t xml:space="preserve">. The table specs (</w:t>
      </w:r>
      <w:r>
        <w:rPr>
          <w:rStyle w:val="CodeChar"/>
        </w:rPr>
        <w:t xml:space="preserve">F98711</w:t>
      </w:r>
      <w:r>
        <w:t xml:space="preserve">) list </w:t>
      </w:r>
      <w:r>
        <w:rPr>
          <w:rStyle w:val="CodeChar"/>
        </w:rPr>
        <w:t xml:space="preserve">MCU</w:t>
      </w:r>
      <w:r>
        <w:t xml:space="preserve"> in 1,309 tables.</w:t>
      </w:r>
    </w:p>
    <w:p>
      <w:pPr/>
      <w:r>
        <w:rPr>
          <w:b/>
        </w:rPr>
        <w:t xml:space="preserve">Prototype:</w:t>
      </w:r>
      <w:r>
        <w:t xml:space="preserve"> in an isolated lab schema built from copies, a package resolves the user, reads type-4 rules and returns a filter. It passes 13 behaviour checks, including Oracle's own documentation example in exclusive and inclusive mode. The checks prove the mechanism works, not that JDE behaves identically; that is what this review is for.</w:t>
      </w:r>
    </w:p>
    <w:p>
      <w:pPr>
        <w:pStyle w:val="Heading2"/>
      </w:pPr>
      <w:r>
        <w:t xml:space="preserve">Part A: AI-drafted answers (Pythian-AI-JDE-Expert)</w:t>
      </w:r>
    </w:p>
    <w:p>
      <w:pPr>
        <w:pStyle w:val="Heading3"/>
      </w:pPr>
      <w:r>
        <w:t xml:space="preserve">Q1. Security types in F00950 (</w:t>
      </w:r>
      <w:r>
        <w:rPr>
          <w:b/>
        </w:rPr>
        <w:t xml:space="preserve">Priority</w:t>
      </w:r>
      <w:r>
        <w:t xml:space="preserve">)</w:t>
      </w:r>
    </w:p>
    <w:p>
      <w:pPr/>
      <w:r>
        <w:rPr>
          <w:b/>
        </w:rPr>
        <w:t xml:space="preserve">Question:</w:t>
      </w:r>
      <w:r>
        <w:t xml:space="preserve"> Is </w:t>
      </w:r>
      <w:r>
        <w:rPr>
          <w:rStyle w:val="CodeChar"/>
        </w:rPr>
        <w:t xml:space="preserve">FSSETY = '4'</w:t>
      </w:r>
      <w:r>
        <w:t xml:space="preserve"> row security? What do the types </w:t>
      </w:r>
      <w:r>
        <w:rPr>
          <w:rStyle w:val="CodeChar"/>
        </w:rPr>
        <w:t xml:space="preserve">9</w:t>
      </w:r>
      <w:r>
        <w:t xml:space="preserve">, </w:t>
      </w:r>
      <w:r>
        <w:rPr>
          <w:rStyle w:val="CodeChar"/>
        </w:rPr>
        <w:t xml:space="preserve">B</w:t>
      </w:r>
      <w:r>
        <w:t xml:space="preserve"> and </w:t>
      </w:r>
      <w:r>
        <w:rPr>
          <w:rStyle w:val="CodeChar"/>
        </w:rPr>
        <w:t xml:space="preserve">S</w:t>
      </w:r>
      <w:r>
        <w:t xml:space="preserve"> in our database mean?</w:t>
      </w:r>
    </w:p>
    <w:p>
      <w:pPr/>
      <w:r>
        <w:rPr>
          <w:b/>
        </w:rPr>
        <w:t xml:space="preserve">AI answer:</w:t>
      </w:r>
      <w:r>
        <w:t xml:space="preserve"> Type </w:t>
      </w:r>
      <w:r>
        <w:rPr>
          <w:rStyle w:val="CodeChar"/>
        </w:rPr>
        <w:t xml:space="preserve">4</w:t>
      </w:r>
      <w:r>
        <w:t xml:space="preserve"> is row security (Oracle admin guide, GSI and Quest all say "Type 4"); type </w:t>
      </w:r>
      <w:r>
        <w:rPr>
          <w:rStyle w:val="CodeChar"/>
        </w:rPr>
        <w:t xml:space="preserve">5</w:t>
      </w:r>
      <w:r>
        <w:t xml:space="preserve"> is processing option and data selection security. The 18 type-</w:t>
      </w:r>
      <w:r>
        <w:rPr>
          <w:rStyle w:val="CodeChar"/>
        </w:rPr>
        <w:t xml:space="preserve">9</w:t>
      </w:r>
      <w:r>
        <w:t xml:space="preserve"> rows have a library name as user (</w:t>
      </w:r>
      <w:r>
        <w:rPr>
          <w:rStyle w:val="CodeChar"/>
        </w:rPr>
        <w:t xml:space="preserve">PRODDTA</w:t>
      </w:r>
      <w:r>
        <w:t xml:space="preserve">, </w:t>
      </w:r>
      <w:r>
        <w:rPr>
          <w:rStyle w:val="CodeChar"/>
        </w:rPr>
        <w:t xml:space="preserve">TESTDTA</w:t>
      </w:r>
      <w:r>
        <w:t xml:space="preserve">...), object </w:t>
      </w:r>
      <w:r>
        <w:rPr>
          <w:rStyle w:val="CodeChar"/>
        </w:rPr>
        <w:t xml:space="preserve">R98405A</w:t>
      </w:r>
      <w:r>
        <w:t xml:space="preserve"> and </w:t>
      </w:r>
      <w:r>
        <w:rPr>
          <w:rStyle w:val="CodeChar"/>
        </w:rPr>
        <w:t xml:space="preserve">FSRUN = 'Y'</w:t>
      </w:r>
      <w:r>
        <w:t xml:space="preserve">. The </w:t>
      </w:r>
      <w:r>
        <w:rPr>
          <w:rStyle w:val="CodeChar"/>
        </w:rPr>
        <w:t xml:space="preserve">S</w:t>
      </w:r>
      <w:r>
        <w:t xml:space="preserve"> row is </w:t>
      </w:r>
      <w:r>
        <w:rPr>
          <w:rStyle w:val="CodeChar"/>
        </w:rPr>
        <w:t xml:space="preserve">*PUBLIC</w:t>
      </w:r>
      <w:r>
        <w:t xml:space="preserve"> / </w:t>
      </w:r>
      <w:r>
        <w:rPr>
          <w:rStyle w:val="CodeChar"/>
        </w:rPr>
        <w:t xml:space="preserve">*ALL</w:t>
      </w:r>
      <w:r>
        <w:t xml:space="preserve"> with </w:t>
      </w:r>
      <w:r>
        <w:rPr>
          <w:rStyle w:val="CodeChar"/>
        </w:rPr>
        <w:t xml:space="preserve">FSRUN = 'Y'</w:t>
      </w:r>
      <w:r>
        <w:t xml:space="preserve">. The </w:t>
      </w:r>
      <w:r>
        <w:rPr>
          <w:rStyle w:val="CodeChar"/>
        </w:rPr>
        <w:t xml:space="preserve">B</w:t>
      </w:r>
      <w:r>
        <w:t xml:space="preserve"> row is user </w:t>
      </w:r>
      <w:r>
        <w:rPr>
          <w:rStyle w:val="CodeChar"/>
        </w:rPr>
        <w:t xml:space="preserve">JDE</w:t>
      </w:r>
      <w:r>
        <w:t xml:space="preserve"> with </w:t>
      </w:r>
      <w:r>
        <w:rPr>
          <w:rStyle w:val="CodeChar"/>
        </w:rPr>
        <w:t xml:space="preserve">FSIOK = 'Y'</w:t>
      </w:r>
      <w:r>
        <w:t xml:space="preserve">. They look like shipped, open run permissions. They are not row security, so we ignore everything except </w:t>
      </w:r>
      <w:r>
        <w:rPr>
          <w:rStyle w:val="CodeChar"/>
        </w:rPr>
        <w:t xml:space="preserve">FSSETY = '4'</w:t>
      </w:r>
      <w:r>
        <w:t xml:space="preserve">.</w:t>
      </w:r>
    </w:p>
    <w:p>
      <w:pPr/>
      <w:r>
        <w:rPr>
          <w:b/>
        </w:rPr>
        <w:t xml:space="preserve">Confidence:</w:t>
      </w:r>
      <w:r>
        <w:t xml:space="preserve"> type 4 </w:t>
      </w:r>
      <w:r>
        <w:rPr>
          <w:b/>
        </w:rPr>
        <w:t xml:space="preserve">High</w:t>
      </w:r>
      <w:r>
        <w:t xml:space="preserve">; meaning of </w:t>
      </w:r>
      <w:r>
        <w:rPr>
          <w:rStyle w:val="CodeChar"/>
        </w:rPr>
        <w:t xml:space="preserve">9</w:t>
      </w:r>
      <w:r>
        <w:t xml:space="preserve">, </w:t>
      </w:r>
      <w:r>
        <w:rPr>
          <w:rStyle w:val="CodeChar"/>
        </w:rPr>
        <w:t xml:space="preserve">B</w:t>
      </w:r>
      <w:r>
        <w:t xml:space="preserve">, </w:t>
      </w:r>
      <w:r>
        <w:rPr>
          <w:rStyle w:val="CodeChar"/>
        </w:rPr>
        <w:t xml:space="preserve">S</w:t>
      </w:r>
      <w:r>
        <w:t xml:space="preserve"> </w:t>
      </w:r>
      <w:r>
        <w:rPr>
          <w:b/>
        </w:rPr>
        <w:t xml:space="preserve">Low</w:t>
      </w:r>
      <w:r>
        <w:t xml:space="preserve">.</w:t>
      </w:r>
    </w:p>
    <w:p>
      <w:pPr>
        <w:pStyle w:val="Heading3"/>
      </w:pPr>
      <w:r>
        <w:t xml:space="preserve">Q2. Column mapping of a row-security record (</w:t>
      </w:r>
      <w:r>
        <w:rPr>
          <w:b/>
        </w:rPr>
        <w:t xml:space="preserve">Priority</w:t>
      </w:r>
      <w:r>
        <w:t xml:space="preserve">)</w:t>
      </w:r>
    </w:p>
    <w:p>
      <w:pPr/>
      <w:r>
        <w:rPr>
          <w:b/>
        </w:rPr>
        <w:t xml:space="preserve">Question:</w:t>
      </w:r>
      <w:r>
        <w:t xml:space="preserve"> Which </w:t>
      </w:r>
      <w:r>
        <w:rPr>
          <w:rStyle w:val="CodeChar"/>
        </w:rPr>
        <w:t xml:space="preserve">F00950</w:t>
      </w:r>
      <w:r>
        <w:t xml:space="preserve"> columns hold the table, data item, from value, thru value and View / Add / Change / Delete?</w:t>
      </w:r>
    </w:p>
    <w:p>
      <w:pPr/>
      <w:r>
        <w:rPr>
          <w:b/>
        </w:rPr>
        <w:t xml:space="preserve">AI answer:</w:t>
      </w:r>
      <w:r>
        <w:t xml:space="preserve"> </w:t>
      </w:r>
      <w:r>
        <w:rPr>
          <w:rStyle w:val="CodeChar"/>
        </w:rPr>
        <w:t xml:space="preserve">FSOBNM</w:t>
      </w:r>
      <w:r>
        <w:t xml:space="preserve"> = table or </w:t>
      </w:r>
      <w:r>
        <w:rPr>
          <w:rStyle w:val="CodeChar"/>
        </w:rPr>
        <w:t xml:space="preserve">*ALL</w:t>
      </w:r>
      <w:r>
        <w:t xml:space="preserve">; </w:t>
      </w:r>
      <w:r>
        <w:rPr>
          <w:rStyle w:val="CodeChar"/>
        </w:rPr>
        <w:t xml:space="preserve">FSDTAI</w:t>
      </w:r>
      <w:r>
        <w:t xml:space="preserve"> = data item alias (</w:t>
      </w:r>
      <w:r>
        <w:rPr>
          <w:rStyle w:val="CodeChar"/>
        </w:rPr>
        <w:t xml:space="preserve">MCU</w:t>
      </w:r>
      <w:r>
        <w:t xml:space="preserve">, </w:t>
      </w:r>
      <w:r>
        <w:rPr>
          <w:rStyle w:val="CodeChar"/>
        </w:rPr>
        <w:t xml:space="preserve">CO</w:t>
      </w:r>
      <w:r>
        <w:t xml:space="preserve">, </w:t>
      </w:r>
      <w:r>
        <w:rPr>
          <w:rStyle w:val="CodeChar"/>
        </w:rPr>
        <w:t xml:space="preserve">AN8</w:t>
      </w:r>
      <w:r>
        <w:t xml:space="preserve">); </w:t>
      </w:r>
      <w:r>
        <w:rPr>
          <w:rStyle w:val="CodeChar"/>
        </w:rPr>
        <w:t xml:space="preserve">FSFRDV</w:t>
      </w:r>
      <w:r>
        <w:t xml:space="preserve"> / </w:t>
      </w:r>
      <w:r>
        <w:rPr>
          <w:rStyle w:val="CodeChar"/>
        </w:rPr>
        <w:t xml:space="preserve">FSTHDV</w:t>
      </w:r>
      <w:r>
        <w:t xml:space="preserve"> = from / thru; </w:t>
      </w:r>
      <w:r>
        <w:rPr>
          <w:rStyle w:val="CodeChar"/>
        </w:rPr>
        <w:t xml:space="preserve">FSVWYN</w:t>
      </w:r>
      <w:r>
        <w:t xml:space="preserve"> = View; </w:t>
      </w:r>
      <w:r>
        <w:rPr>
          <w:rStyle w:val="CodeChar"/>
        </w:rPr>
        <w:t xml:space="preserve">FSA</w:t>
      </w:r>
      <w:r>
        <w:t xml:space="preserve"> = Add; </w:t>
      </w:r>
      <w:r>
        <w:rPr>
          <w:rStyle w:val="CodeChar"/>
        </w:rPr>
        <w:t xml:space="preserve">FSCHNG</w:t>
      </w:r>
      <w:r>
        <w:t xml:space="preserve"> = Change; </w:t>
      </w:r>
      <w:r>
        <w:rPr>
          <w:rStyle w:val="CodeChar"/>
        </w:rPr>
        <w:t xml:space="preserve">FSDLT</w:t>
      </w:r>
      <w:r>
        <w:t xml:space="preserve"> = Delete. Basis: the column names, Oracle's field list, the data dictionary sizes (</w:t>
      </w:r>
      <w:r>
        <w:rPr>
          <w:rStyle w:val="CodeChar"/>
        </w:rPr>
        <w:t xml:space="preserve">FRDV</w:t>
      </w:r>
      <w:r>
        <w:t xml:space="preserve"> and </w:t>
      </w:r>
      <w:r>
        <w:rPr>
          <w:rStyle w:val="CodeChar"/>
        </w:rPr>
        <w:t xml:space="preserve">THDV</w:t>
      </w:r>
      <w:r>
        <w:t xml:space="preserve"> are 30 characters, </w:t>
      </w:r>
      <w:r>
        <w:rPr>
          <w:rStyle w:val="CodeChar"/>
        </w:rPr>
        <w:t xml:space="preserve">VWYN</w:t>
      </w:r>
      <w:r>
        <w:t xml:space="preserve"> is 1) and Oracle's pre-8.9 sample insert. This is inference from names, not from a real record.</w:t>
      </w:r>
    </w:p>
    <w:p>
      <w:pPr/>
      <w:r>
        <w:rPr>
          <w:b/>
        </w:rPr>
        <w:t xml:space="preserve">Confidence:</w:t>
      </w:r>
      <w:r>
        <w:t xml:space="preserve"> </w:t>
      </w:r>
      <w:r>
        <w:rPr>
          <w:b/>
        </w:rPr>
        <w:t xml:space="preserve">Medium</w:t>
      </w:r>
      <w:r>
        <w:t xml:space="preserve">.</w:t>
      </w:r>
    </w:p>
    <w:p>
      <w:pPr>
        <w:pStyle w:val="Heading3"/>
      </w:pPr>
      <w:r>
        <w:t xml:space="preserve">Q3. Inclusive versus exclusive mode (</w:t>
      </w:r>
      <w:r>
        <w:rPr>
          <w:b/>
        </w:rPr>
        <w:t xml:space="preserve">Priority</w:t>
      </w:r>
      <w:r>
        <w:t xml:space="preserve">)</w:t>
      </w:r>
    </w:p>
    <w:p>
      <w:pPr/>
      <w:r>
        <w:rPr>
          <w:b/>
        </w:rPr>
        <w:t xml:space="preserve">Question:</w:t>
      </w:r>
      <w:r>
        <w:t xml:space="preserve"> Where is the inclusive / exclusive flag stored, and what does our database use?</w:t>
      </w:r>
    </w:p>
    <w:p>
      <w:pPr/>
      <w:r>
        <w:rPr>
          <w:b/>
        </w:rPr>
        <w:t xml:space="preserve">AI answer:</w:t>
      </w:r>
      <w:r>
        <w:t xml:space="preserve"> It is a record in </w:t>
      </w:r>
      <w:r>
        <w:rPr>
          <w:rStyle w:val="CodeChar"/>
        </w:rPr>
        <w:t xml:space="preserve">F00950</w:t>
      </w:r>
      <w:r>
        <w:t xml:space="preserve"> with </w:t>
      </w:r>
      <w:r>
        <w:rPr>
          <w:rStyle w:val="CodeChar"/>
        </w:rPr>
        <w:t xml:space="preserve">FSUSER = 'EXCLUSIVE'</w:t>
      </w:r>
      <w:r>
        <w:t xml:space="preserve"> (Oracle's activation page inserts exactly that for releases before 8.9; since 8.9 it is set in P00950 under Form &gt; Exclusive/Inclusive). Our database has no such record (0 rows with </w:t>
      </w:r>
      <w:r>
        <w:rPr>
          <w:rStyle w:val="CodeChar"/>
        </w:rPr>
        <w:t xml:space="preserve">FSUSER</w:t>
      </w:r>
      <w:r>
        <w:t xml:space="preserve"> of </w:t>
      </w:r>
      <w:r>
        <w:rPr>
          <w:rStyle w:val="CodeChar"/>
        </w:rPr>
        <w:t xml:space="preserve">EXCLUSIVE</w:t>
      </w:r>
      <w:r>
        <w:t xml:space="preserve"> or </w:t>
      </w:r>
      <w:r>
        <w:rPr>
          <w:rStyle w:val="CodeChar"/>
        </w:rPr>
        <w:t xml:space="preserve">INCLUSIVE</w:t>
      </w:r>
      <w:r>
        <w:t xml:space="preserve">), so it runs in the default, exclusive mode. We will read the flag and treat "no record" as exclusive. How inclusive mode is stored is only partly documented; the sample on Oracle's page looks like the exclusive record.</w:t>
      </w:r>
    </w:p>
    <w:p>
      <w:pPr/>
      <w:r>
        <w:rPr>
          <w:b/>
        </w:rPr>
        <w:t xml:space="preserve">Confidence:</w:t>
      </w:r>
      <w:r>
        <w:t xml:space="preserve"> location and default </w:t>
      </w:r>
      <w:r>
        <w:rPr>
          <w:b/>
        </w:rPr>
        <w:t xml:space="preserve">Medium-High</w:t>
      </w:r>
      <w:r>
        <w:t xml:space="preserve">; inclusive record format </w:t>
      </w:r>
      <w:r>
        <w:rPr>
          <w:b/>
        </w:rPr>
        <w:t xml:space="preserve">Low</w:t>
      </w:r>
      <w:r>
        <w:t xml:space="preserve">.</w:t>
      </w:r>
    </w:p>
    <w:p>
      <w:pPr>
        <w:pStyle w:val="Heading3"/>
      </w:pPr>
      <w:r>
        <w:t xml:space="preserve">Q4. Value formats</w:t>
      </w:r>
    </w:p>
    <w:p>
      <w:pPr/>
      <w:r>
        <w:rPr>
          <w:b/>
        </w:rPr>
        <w:t xml:space="preserve">Question:</w:t>
      </w:r>
      <w:r>
        <w:t xml:space="preserve"> How are from / thru values stored and compared (padding, numbers, blanks, </w:t>
      </w:r>
      <w:r>
        <w:rPr>
          <w:rStyle w:val="CodeChar"/>
        </w:rPr>
        <w:t xml:space="preserve">*BLANKS</w:t>
      </w:r>
      <w:r>
        <w:t xml:space="preserve">)?</w:t>
      </w:r>
    </w:p>
    <w:p>
      <w:pPr/>
      <w:r>
        <w:rPr>
          <w:b/>
        </w:rPr>
        <w:t xml:space="preserve">AI answer:</w:t>
      </w:r>
      <w:r>
        <w:t xml:space="preserve"> Values compare in the column's stored format. Business unit (</w:t>
      </w:r>
      <w:r>
        <w:rPr>
          <w:rStyle w:val="CodeChar"/>
        </w:rPr>
        <w:t xml:space="preserve">MCU</w:t>
      </w:r>
      <w:r>
        <w:t xml:space="preserve">) is a 12-character right-justified string, so the range </w:t>
      </w:r>
      <w:r>
        <w:rPr>
          <w:rStyle w:val="CodeChar"/>
        </w:rPr>
        <w:t xml:space="preserve">1</w:t>
      </w:r>
      <w:r>
        <w:t xml:space="preserve"> to </w:t>
      </w:r>
      <w:r>
        <w:rPr>
          <w:rStyle w:val="CodeChar"/>
        </w:rPr>
        <w:t xml:space="preserve">99</w:t>
      </w:r>
      <w:r>
        <w:t xml:space="preserve"> also catches </w:t>
      </w:r>
      <w:r>
        <w:rPr>
          <w:rStyle w:val="CodeChar"/>
        </w:rPr>
        <w:t xml:space="preserve">AA</w:t>
      </w:r>
      <w:r>
        <w:t xml:space="preserve"> (Quest: read it as blank-to-99); Oracle's generated SQL shows </w:t>
      </w:r>
      <w:r>
        <w:rPr>
          <w:rStyle w:val="CodeChar"/>
        </w:rPr>
        <w:t xml:space="preserve">' 21'</w:t>
      </w:r>
      <w:r>
        <w:t xml:space="preserve"> for this reason. Numeric items such as </w:t>
      </w:r>
      <w:r>
        <w:rPr>
          <w:rStyle w:val="CodeChar"/>
        </w:rPr>
        <w:t xml:space="preserve">AN8</w:t>
      </w:r>
      <w:r>
        <w:t xml:space="preserve"> compare as numbers. Company (</w:t>
      </w:r>
      <w:r>
        <w:rPr>
          <w:rStyle w:val="CodeChar"/>
        </w:rPr>
        <w:t xml:space="preserve">CO</w:t>
      </w:r>
      <w:r>
        <w:t xml:space="preserve">) is 5 characters and blank is a valid value. A blank thru value most likely means "same as from". GSI advises adding ALL-to-ALL and </w:t>
      </w:r>
      <w:r>
        <w:rPr>
          <w:rStyle w:val="CodeChar"/>
        </w:rPr>
        <w:t xml:space="preserve">*BLANKS</w:t>
      </w:r>
      <w:r>
        <w:t xml:space="preserve"> ranges for </w:t>
      </w:r>
      <w:r>
        <w:rPr>
          <w:rStyle w:val="CodeChar"/>
        </w:rPr>
        <w:t xml:space="preserve">MCU</w:t>
      </w:r>
      <w:r>
        <w:t xml:space="preserve">, so blank data must be treated as a real value. Width and type must come from the table spec, never be hard-coded.</w:t>
      </w:r>
    </w:p>
    <w:p>
      <w:pPr/>
      <w:r>
        <w:rPr>
          <w:b/>
        </w:rPr>
        <w:t xml:space="preserve">Confidence:</w:t>
      </w:r>
      <w:r>
        <w:t xml:space="preserve"> string / numeric and right-justification </w:t>
      </w:r>
      <w:r>
        <w:rPr>
          <w:b/>
        </w:rPr>
        <w:t xml:space="preserve">High</w:t>
      </w:r>
      <w:r>
        <w:t xml:space="preserve">; blank thru value and </w:t>
      </w:r>
      <w:r>
        <w:rPr>
          <w:rStyle w:val="CodeChar"/>
        </w:rPr>
        <w:t xml:space="preserve">*BLANKS</w:t>
      </w:r>
      <w:r>
        <w:t xml:space="preserve"> </w:t>
      </w:r>
      <w:r>
        <w:rPr>
          <w:b/>
        </w:rPr>
        <w:t xml:space="preserve">Low</w:t>
      </w:r>
      <w:r>
        <w:t xml:space="preserve">.</w:t>
      </w:r>
    </w:p>
    <w:p>
      <w:pPr>
        <w:pStyle w:val="Heading3"/>
      </w:pPr>
      <w:r>
        <w:t xml:space="preserve">Q5. Which tables does </w:t>
      </w:r>
      <w:r>
        <w:rPr>
          <w:rStyle w:val="CodeChar"/>
        </w:rPr>
        <w:t xml:space="preserve">*ALL</w:t>
      </w:r>
      <w:r>
        <w:t xml:space="preserve"> cover?</w:t>
      </w:r>
    </w:p>
    <w:p>
      <w:pPr/>
      <w:r>
        <w:rPr>
          <w:b/>
        </w:rPr>
        <w:t xml:space="preserve">Question:</w:t>
      </w:r>
      <w:r>
        <w:t xml:space="preserve"> How does JDE map a data item to the column in each table, and is the table specification the source?</w:t>
      </w:r>
    </w:p>
    <w:p>
      <w:pPr/>
      <w:r>
        <w:rPr>
          <w:b/>
        </w:rPr>
        <w:t xml:space="preserve">AI answer:</w:t>
      </w:r>
      <w:r>
        <w:t xml:space="preserve"> Yes. </w:t>
      </w:r>
      <w:r>
        <w:rPr>
          <w:rStyle w:val="CodeChar"/>
        </w:rPr>
        <w:t xml:space="preserve">F98711</w:t>
      </w:r>
      <w:r>
        <w:t xml:space="preserve"> lists table, data item and SQL column (</w:t>
      </w:r>
      <w:r>
        <w:rPr>
          <w:rStyle w:val="CodeChar"/>
        </w:rPr>
        <w:t xml:space="preserve">TDOBNM</w:t>
      </w:r>
      <w:r>
        <w:t xml:space="preserve">, </w:t>
      </w:r>
      <w:r>
        <w:rPr>
          <w:rStyle w:val="CodeChar"/>
        </w:rPr>
        <w:t xml:space="preserve">TDOBND</w:t>
      </w:r>
      <w:r>
        <w:t xml:space="preserve">, </w:t>
      </w:r>
      <w:r>
        <w:rPr>
          <w:rStyle w:val="CodeChar"/>
        </w:rPr>
        <w:t xml:space="preserve">TDSQLC</w:t>
      </w:r>
      <w:r>
        <w:t xml:space="preserve">): </w:t>
      </w:r>
      <w:r>
        <w:rPr>
          <w:rStyle w:val="CodeChar"/>
        </w:rPr>
        <w:t xml:space="preserve">F0101</w:t>
      </w:r>
      <w:r>
        <w:t xml:space="preserve"> maps </w:t>
      </w:r>
      <w:r>
        <w:rPr>
          <w:rStyle w:val="CodeChar"/>
        </w:rPr>
        <w:t xml:space="preserve">MCU</w:t>
      </w:r>
      <w:r>
        <w:t xml:space="preserve"> to </w:t>
      </w:r>
      <w:r>
        <w:rPr>
          <w:rStyle w:val="CodeChar"/>
        </w:rPr>
        <w:t xml:space="preserve">ABMCU</w:t>
      </w:r>
      <w:r>
        <w:t xml:space="preserve"> and </w:t>
      </w:r>
      <w:r>
        <w:rPr>
          <w:rStyle w:val="CodeChar"/>
        </w:rPr>
        <w:t xml:space="preserve">AN8</w:t>
      </w:r>
      <w:r>
        <w:t xml:space="preserve"> to </w:t>
      </w:r>
      <w:r>
        <w:rPr>
          <w:rStyle w:val="CodeChar"/>
        </w:rPr>
        <w:t xml:space="preserve">ABAN8</w:t>
      </w:r>
      <w:r>
        <w:t xml:space="preserve">; </w:t>
      </w:r>
      <w:r>
        <w:rPr>
          <w:rStyle w:val="CodeChar"/>
        </w:rPr>
        <w:t xml:space="preserve">F0006</w:t>
      </w:r>
      <w:r>
        <w:t xml:space="preserve"> maps </w:t>
      </w:r>
      <w:r>
        <w:rPr>
          <w:rStyle w:val="CodeChar"/>
        </w:rPr>
        <w:t xml:space="preserve">MCU</w:t>
      </w:r>
      <w:r>
        <w:t xml:space="preserve"> to </w:t>
      </w:r>
      <w:r>
        <w:rPr>
          <w:rStyle w:val="CodeChar"/>
        </w:rPr>
        <w:t xml:space="preserve">MCMCU</w:t>
      </w:r>
      <w:r>
        <w:t xml:space="preserve">. </w:t>
      </w:r>
      <w:r>
        <w:rPr>
          <w:rStyle w:val="CodeChar"/>
        </w:rPr>
        <w:t xml:space="preserve">MCU</w:t>
      </w:r>
      <w:r>
        <w:t xml:space="preserve"> occurs in 1,309 tables (1,304 exist in </w:t>
      </w:r>
      <w:r>
        <w:rPr>
          <w:rStyle w:val="CodeChar"/>
        </w:rPr>
        <w:t xml:space="preserve">TESTDTA</w:t>
      </w:r>
      <w:r>
        <w:t xml:space="preserve">), </w:t>
      </w:r>
      <w:r>
        <w:rPr>
          <w:rStyle w:val="CodeChar"/>
        </w:rPr>
        <w:t xml:space="preserve">CO</w:t>
      </w:r>
      <w:r>
        <w:t xml:space="preserve"> in 795 and </w:t>
      </w:r>
      <w:r>
        <w:rPr>
          <w:rStyle w:val="CodeChar"/>
        </w:rPr>
        <w:t xml:space="preserve">AN8</w:t>
      </w:r>
      <w:r>
        <w:t xml:space="preserve"> in 1,323. Every </w:t>
      </w:r>
      <w:r>
        <w:rPr>
          <w:rStyle w:val="CodeChar"/>
        </w:rPr>
        <w:t xml:space="preserve">MCU</w:t>
      </w:r>
      <w:r>
        <w:t xml:space="preserve"> column follows the two-letter prefix plus alias pattern, with no exceptions. We would generate filters only for the tables our SQL reads, driven by </w:t>
      </w:r>
      <w:r>
        <w:rPr>
          <w:rStyle w:val="CodeChar"/>
        </w:rPr>
        <w:t xml:space="preserve">F98711</w:t>
      </w:r>
      <w:r>
        <w:t xml:space="preserve">.</w:t>
      </w:r>
    </w:p>
    <w:p>
      <w:pPr/>
      <w:r>
        <w:rPr>
          <w:b/>
        </w:rPr>
        <w:t xml:space="preserve">Confidence:</w:t>
      </w:r>
      <w:r>
        <w:t xml:space="preserve"> </w:t>
      </w:r>
      <w:r>
        <w:rPr>
          <w:b/>
        </w:rPr>
        <w:t xml:space="preserve">High</w:t>
      </w:r>
      <w:r>
        <w:t xml:space="preserve"> (from data).</w:t>
      </w:r>
    </w:p>
    <w:p>
      <w:pPr>
        <w:pStyle w:val="Heading3"/>
      </w:pPr>
      <w:r>
        <w:t xml:space="preserve">Q6. Roles and which level wins (</w:t>
      </w:r>
      <w:r>
        <w:rPr>
          <w:b/>
        </w:rPr>
        <w:t xml:space="preserve">Priority</w:t>
      </w:r>
      <w:r>
        <w:t xml:space="preserve">)</w:t>
      </w:r>
    </w:p>
    <w:p>
      <w:pPr/>
      <w:r>
        <w:rPr>
          <w:b/>
        </w:rPr>
        <w:t xml:space="preserve">Question:</w:t>
      </w:r>
      <w:r>
        <w:t xml:space="preserve"> How are roles stored (</w:t>
      </w:r>
      <w:r>
        <w:rPr>
          <w:rStyle w:val="CodeChar"/>
        </w:rPr>
        <w:t xml:space="preserve">F95921</w:t>
      </w:r>
      <w:r>
        <w:t xml:space="preserve">), how are effective dates applied, what happens with several roles, and is "user, then role, then </w:t>
      </w:r>
      <w:r>
        <w:rPr>
          <w:rStyle w:val="CodeChar"/>
        </w:rPr>
        <w:t xml:space="preserve">*PUBLIC</w:t>
      </w:r>
      <w:r>
        <w:t xml:space="preserve">" decided per data item, per table or overall?</w:t>
      </w:r>
    </w:p>
    <w:p>
      <w:pPr/>
      <w:r>
        <w:rPr>
          <w:b/>
        </w:rPr>
        <w:t xml:space="preserve">AI answer:</w:t>
      </w:r>
      <w:r>
        <w:t xml:space="preserve"> </w:t>
      </w:r>
      <w:r>
        <w:rPr>
          <w:rStyle w:val="CodeChar"/>
        </w:rPr>
        <w:t xml:space="preserve">F95921</w:t>
      </w:r>
      <w:r>
        <w:t xml:space="preserve"> links a member (</w:t>
      </w:r>
      <w:r>
        <w:rPr>
          <w:rStyle w:val="CodeChar"/>
        </w:rPr>
        <w:t xml:space="preserve">RLFRROLE</w:t>
      </w:r>
      <w:r>
        <w:t xml:space="preserve">, a user or role) to a role (</w:t>
      </w:r>
      <w:r>
        <w:rPr>
          <w:rStyle w:val="CodeChar"/>
        </w:rPr>
        <w:t xml:space="preserve">RLTOROLE</w:t>
      </w:r>
      <w:r>
        <w:t xml:space="preserve">); </w:t>
      </w:r>
      <w:r>
        <w:rPr>
          <w:rStyle w:val="CodeChar"/>
        </w:rPr>
        <w:t xml:space="preserve">RLEFFDATE</w:t>
      </w:r>
      <w:r>
        <w:t xml:space="preserve"> and </w:t>
      </w:r>
      <w:r>
        <w:rPr>
          <w:rStyle w:val="CodeChar"/>
        </w:rPr>
        <w:t xml:space="preserve">RLEXPIRDATE</w:t>
      </w:r>
      <w:r>
        <w:t xml:space="preserve"> bound validity, so expired links must be ignored. With several roles, inclusive mode merges as a union of ranges; merging exclusive sets is risky because two sets of exclusions can leave a user with nothing (Quest). On the winning level, Oracle says higher-level security makes lower levels ignored, which I read as per user, not per table or data item, so any user-level rule would hide all role and </w:t>
      </w:r>
      <w:r>
        <w:rPr>
          <w:rStyle w:val="CodeChar"/>
        </w:rPr>
        <w:t xml:space="preserve">*PUBLIC</w:t>
      </w:r>
      <w:r>
        <w:t xml:space="preserve"> rules. This is the least certain point. Quest recommends dedicated row-security roles (prefix </w:t>
      </w:r>
      <w:r>
        <w:rPr>
          <w:rStyle w:val="CodeChar"/>
        </w:rPr>
        <w:t xml:space="preserve">RS</w:t>
      </w:r>
      <w:r>
        <w:t xml:space="preserve">) and no per-user rules, which would make the question mostly disappear.</w:t>
      </w:r>
    </w:p>
    <w:p>
      <w:pPr/>
      <w:r>
        <w:rPr>
          <w:b/>
        </w:rPr>
        <w:t xml:space="preserve">Confidence:</w:t>
      </w:r>
      <w:r>
        <w:t xml:space="preserve"> role table </w:t>
      </w:r>
      <w:r>
        <w:rPr>
          <w:b/>
        </w:rPr>
        <w:t xml:space="preserve">Medium</w:t>
      </w:r>
      <w:r>
        <w:t xml:space="preserve">; union in inclusive mode </w:t>
      </w:r>
      <w:r>
        <w:rPr>
          <w:b/>
        </w:rPr>
        <w:t xml:space="preserve">Medium</w:t>
      </w:r>
      <w:r>
        <w:t xml:space="preserve">; winning-level granularity </w:t>
      </w:r>
      <w:r>
        <w:rPr>
          <w:b/>
        </w:rPr>
        <w:t xml:space="preserve">Low</w:t>
      </w:r>
      <w:r>
        <w:t xml:space="preserve">.</w:t>
      </w:r>
    </w:p>
    <w:p>
      <w:pPr>
        <w:pStyle w:val="Heading3"/>
      </w:pPr>
      <w:r>
        <w:t xml:space="preserve">Q7. What does a user with no rules see? (</w:t>
      </w:r>
      <w:r>
        <w:rPr>
          <w:b/>
        </w:rPr>
        <w:t xml:space="preserve">Priority</w:t>
      </w:r>
      <w:r>
        <w:t xml:space="preserve">)</w:t>
      </w:r>
    </w:p>
    <w:p>
      <w:pPr/>
      <w:r>
        <w:rPr>
          <w:b/>
        </w:rPr>
        <w:t xml:space="preserve">Question:</w:t>
      </w:r>
      <w:r>
        <w:t xml:space="preserve"> In inclusive mode, does a user with no rules see everything or nothing?</w:t>
      </w:r>
    </w:p>
    <w:p>
      <w:pPr/>
      <w:r>
        <w:rPr>
          <w:b/>
        </w:rPr>
        <w:t xml:space="preserve">AI answer:</w:t>
      </w:r>
      <w:r>
        <w:t xml:space="preserve"> Row security is per secured data item. A data item with no rules at the user's level is unrestricted; a data item that has rules but no range matching the row hides the row. This fits Oracle ("a record with all N for the operation disallows it") and GSI's advice to add ALL-to-ALL and </w:t>
      </w:r>
      <w:r>
        <w:rPr>
          <w:rStyle w:val="CodeChar"/>
        </w:rPr>
        <w:t xml:space="preserve">*BLANKS</w:t>
      </w:r>
      <w:r>
        <w:t xml:space="preserve"> ranges, which only makes sense if rows outside every listed range disappear. It also means users nobody configured see everything. Our recommendation, which is a design choice and not a JDE fact: ship a strict mode that denies secured tables when the user has no row-security rule at all.</w:t>
      </w:r>
    </w:p>
    <w:p>
      <w:pPr/>
      <w:r>
        <w:rPr>
          <w:b/>
        </w:rPr>
        <w:t xml:space="preserve">Confidence:</w:t>
      </w:r>
      <w:r>
        <w:t xml:space="preserve"> JDE behaviour </w:t>
      </w:r>
      <w:r>
        <w:rPr>
          <w:b/>
        </w:rPr>
        <w:t xml:space="preserve">Medium</w:t>
      </w:r>
      <w:r>
        <w:t xml:space="preserve">.</w:t>
      </w:r>
    </w:p>
    <w:p>
      <w:pPr>
        <w:pStyle w:val="Heading3"/>
      </w:pPr>
      <w:r>
        <w:t xml:space="preserve">Q8. What else limits what a user can see?</w:t>
      </w:r>
    </w:p>
    <w:p>
      <w:pPr/>
      <w:r>
        <w:rPr>
          <w:b/>
        </w:rPr>
        <w:t xml:space="preserve">Question:</w:t>
      </w:r>
      <w:r>
        <w:t xml:space="preserve"> Which aliases do sites secure, and what other controls hide data that are not in </w:t>
      </w:r>
      <w:r>
        <w:rPr>
          <w:rStyle w:val="CodeChar"/>
        </w:rPr>
        <w:t xml:space="preserve">F00950</w:t>
      </w:r>
      <w:r>
        <w:t xml:space="preserve"> type 4?</w:t>
      </w:r>
    </w:p>
    <w:p>
      <w:pPr/>
      <w:r>
        <w:rPr>
          <w:b/>
        </w:rPr>
        <w:t xml:space="preserve">AI answer:</w:t>
      </w:r>
      <w:r>
        <w:t xml:space="preserve"> Most used: </w:t>
      </w:r>
      <w:r>
        <w:rPr>
          <w:rStyle w:val="CodeChar"/>
        </w:rPr>
        <w:t xml:space="preserve">MCU</w:t>
      </w:r>
      <w:r>
        <w:t xml:space="preserve">, </w:t>
      </w:r>
      <w:r>
        <w:rPr>
          <w:rStyle w:val="CodeChar"/>
        </w:rPr>
        <w:t xml:space="preserve">CO</w:t>
      </w:r>
      <w:r>
        <w:t xml:space="preserve">, </w:t>
      </w:r>
      <w:r>
        <w:rPr>
          <w:rStyle w:val="CodeChar"/>
        </w:rPr>
        <w:t xml:space="preserve">KCOO</w:t>
      </w:r>
      <w:r>
        <w:t xml:space="preserve"> and </w:t>
      </w:r>
      <w:r>
        <w:rPr>
          <w:rStyle w:val="CodeChar"/>
        </w:rPr>
        <w:t xml:space="preserve">AN8</w:t>
      </w:r>
      <w:r>
        <w:t xml:space="preserve">; 538 data items are row-securable in our database. Other controls: application security (run / install) and action security; column security; processing option and data selection security (type 5); Address Book data privacy (set in P01138 from 9.1, per Quest); transaction security. A read-only SQL tool does not run applications, so we would not reproduce application or action security but will document that they are not enforced. Column security and address book privacy do hide data and are not yet covered by our research.</w:t>
      </w:r>
    </w:p>
    <w:p>
      <w:pPr/>
      <w:r>
        <w:rPr>
          <w:b/>
        </w:rPr>
        <w:t xml:space="preserve">Confidence:</w:t>
      </w:r>
      <w:r>
        <w:t xml:space="preserve"> </w:t>
      </w:r>
      <w:r>
        <w:rPr>
          <w:b/>
        </w:rPr>
        <w:t xml:space="preserve">Medium-High</w:t>
      </w:r>
      <w:r>
        <w:t xml:space="preserve"> for the list.</w:t>
      </w:r>
    </w:p>
    <w:p>
      <w:pPr>
        <w:pStyle w:val="Heading3"/>
      </w:pPr>
      <w:r>
        <w:t xml:space="preserve">Q9. Linking a work e-mail to a JDE user (</w:t>
      </w:r>
      <w:r>
        <w:rPr>
          <w:b/>
        </w:rPr>
        <w:t xml:space="preserve">Priority</w:t>
      </w:r>
      <w:r>
        <w:t xml:space="preserve">)</w:t>
      </w:r>
    </w:p>
    <w:p>
      <w:pPr/>
      <w:r>
        <w:rPr>
          <w:b/>
        </w:rPr>
        <w:t xml:space="preserve">Question:</w:t>
      </w:r>
      <w:r>
        <w:t xml:space="preserve"> What is the standard link between a Google or work e-mail address and a JDE user? We use </w:t>
      </w:r>
      <w:r>
        <w:rPr>
          <w:rStyle w:val="CodeChar"/>
        </w:rPr>
        <w:t xml:space="preserve">F0092.ULAN8</w:t>
      </w:r>
      <w:r>
        <w:t xml:space="preserve"> then </w:t>
      </w:r>
      <w:r>
        <w:rPr>
          <w:rStyle w:val="CodeChar"/>
        </w:rPr>
        <w:t xml:space="preserve">F01151.EAEMAL</w:t>
      </w:r>
      <w:r>
        <w:t xml:space="preserve">. Is </w:t>
      </w:r>
      <w:r>
        <w:rPr>
          <w:rStyle w:val="CodeChar"/>
        </w:rPr>
        <w:t xml:space="preserve">F00926.AUEMLA</w:t>
      </w:r>
      <w:r>
        <w:t xml:space="preserve"> the user's e-mail? Which e-mail counts when an address book entry has several (</w:t>
      </w:r>
      <w:r>
        <w:rPr>
          <w:rStyle w:val="CodeChar"/>
        </w:rPr>
        <w:t xml:space="preserve">EAETP</w:t>
      </w:r>
      <w:r>
        <w:t xml:space="preserve">, </w:t>
      </w:r>
      <w:r>
        <w:rPr>
          <w:rStyle w:val="CodeChar"/>
        </w:rPr>
        <w:t xml:space="preserve">EAEHIER</w:t>
      </w:r>
      <w:r>
        <w:t xml:space="preserve">)?</w:t>
      </w:r>
    </w:p>
    <w:p>
      <w:pPr/>
      <w:r>
        <w:rPr>
          <w:b/>
        </w:rPr>
        <w:t xml:space="preserve">AI answer:</w:t>
      </w:r>
      <w:r>
        <w:t xml:space="preserve"> The user profile (</w:t>
      </w:r>
      <w:r>
        <w:rPr>
          <w:rStyle w:val="CodeChar"/>
        </w:rPr>
        <w:t xml:space="preserve">F0092.ULAN8</w:t>
      </w:r>
      <w:r>
        <w:t xml:space="preserve">) points to the user's address book record, and the e-mail is the address book e-mail in </w:t>
      </w:r>
      <w:r>
        <w:rPr>
          <w:rStyle w:val="CodeChar"/>
        </w:rPr>
        <w:t xml:space="preserve">F01151.EAEMAL</w:t>
      </w:r>
      <w:r>
        <w:t xml:space="preserve">, the one workflow and Work Center e-mail use. </w:t>
      </w:r>
      <w:r>
        <w:rPr>
          <w:rStyle w:val="CodeChar"/>
        </w:rPr>
        <w:t xml:space="preserve">F00926.AUEMLA</w:t>
      </w:r>
      <w:r>
        <w:t xml:space="preserve"> is the user-profile e-mail field, used for web and password-reset functions; it is empty for all 53 rows in our database. In our database all five users with an address number point to </w:t>
      </w:r>
      <w:r>
        <w:rPr>
          <w:rStyle w:val="CodeChar"/>
        </w:rPr>
        <w:t xml:space="preserve">AN8 1</w:t>
      </w:r>
      <w:r>
        <w:t xml:space="preserve">, which has no e-mail: a demo-data artefact, not the standard setup. We would take </w:t>
      </w:r>
      <w:r>
        <w:rPr>
          <w:rStyle w:val="CodeChar"/>
        </w:rPr>
        <w:t xml:space="preserve">AUEMLA</w:t>
      </w:r>
      <w:r>
        <w:t xml:space="preserve"> when filled, otherwise </w:t>
      </w:r>
      <w:r>
        <w:rPr>
          <w:rStyle w:val="CodeChar"/>
        </w:rPr>
        <w:t xml:space="preserve">F01151</w:t>
      </w:r>
      <w:r>
        <w:t xml:space="preserve"> type </w:t>
      </w:r>
      <w:r>
        <w:rPr>
          <w:rStyle w:val="CodeChar"/>
        </w:rPr>
        <w:t xml:space="preserve">E</w:t>
      </w:r>
      <w:r>
        <w:t xml:space="preserve"> for the user's </w:t>
      </w:r>
      <w:r>
        <w:rPr>
          <w:rStyle w:val="CodeChar"/>
        </w:rPr>
        <w:t xml:space="preserve">ULAN8</w:t>
      </w:r>
      <w:r>
        <w:t xml:space="preserve"> (lowest </w:t>
      </w:r>
      <w:r>
        <w:rPr>
          <w:rStyle w:val="CodeChar"/>
        </w:rPr>
        <w:t xml:space="preserve">EAIDLN</w:t>
      </w:r>
      <w:r>
        <w:t xml:space="preserve"> if several), refuse if different addresses could match, and check the user is active (</w:t>
      </w:r>
      <w:r>
        <w:rPr>
          <w:rStyle w:val="CodeChar"/>
        </w:rPr>
        <w:t xml:space="preserve">F00926.AUACTINACT</w:t>
      </w:r>
      <w:r>
        <w:t xml:space="preserve">). A DBA-owned mapping table (Google e-mail to JDE user) is the safest alternative for a government site. I could not verify the meaning of </w:t>
      </w:r>
      <w:r>
        <w:rPr>
          <w:rStyle w:val="CodeChar"/>
        </w:rPr>
        <w:t xml:space="preserve">EAEHIER</w:t>
      </w:r>
      <w:r>
        <w:t xml:space="preserve"> and </w:t>
      </w:r>
      <w:r>
        <w:rPr>
          <w:rStyle w:val="CodeChar"/>
        </w:rPr>
        <w:t xml:space="preserve">EAETP</w:t>
      </w:r>
      <w:r>
        <w:t xml:space="preserve">.</w:t>
      </w:r>
    </w:p>
    <w:p>
      <w:pPr/>
      <w:r>
        <w:rPr>
          <w:b/>
        </w:rPr>
        <w:t xml:space="preserve">Confidence:</w:t>
      </w:r>
      <w:r>
        <w:t xml:space="preserve"> chain </w:t>
      </w:r>
      <w:r>
        <w:rPr>
          <w:b/>
        </w:rPr>
        <w:t xml:space="preserve">Medium</w:t>
      </w:r>
      <w:r>
        <w:t xml:space="preserve">; role of </w:t>
      </w:r>
      <w:r>
        <w:rPr>
          <w:rStyle w:val="CodeChar"/>
        </w:rPr>
        <w:t xml:space="preserve">AUEMLA</w:t>
      </w:r>
      <w:r>
        <w:t xml:space="preserve"> </w:t>
      </w:r>
      <w:r>
        <w:rPr>
          <w:b/>
        </w:rPr>
        <w:t xml:space="preserve">Low-Medium</w:t>
      </w:r>
      <w:r>
        <w:t xml:space="preserve">; tie-break rule </w:t>
      </w:r>
      <w:r>
        <w:rPr>
          <w:b/>
        </w:rPr>
        <w:t xml:space="preserve">Low</w:t>
      </w:r>
      <w:r>
        <w:t xml:space="preserve">.</w:t>
      </w:r>
    </w:p>
    <w:p>
      <w:pPr>
        <w:pStyle w:val="Heading3"/>
      </w:pPr>
      <w:r>
        <w:t xml:space="preserve">Q10. Exemptions</w:t>
      </w:r>
    </w:p>
    <w:p>
      <w:pPr/>
      <w:r>
        <w:rPr>
          <w:b/>
        </w:rPr>
        <w:t xml:space="preserve">Question:</w:t>
      </w:r>
      <w:r>
        <w:t xml:space="preserve"> Do exemptions from row security exist that the MCP should honour or ignore?</w:t>
      </w:r>
    </w:p>
    <w:p>
      <w:pPr/>
      <w:r>
        <w:rPr>
          <w:b/>
        </w:rPr>
        <w:t xml:space="preserve">AI answer:</w:t>
      </w:r>
      <w:r>
        <w:t xml:space="preserve"> Yes: "Exclusive Application security" can exempt a specific application or UBE from row security so intercompany transactions can complete (Oracle, GSI). They exist for transaction posting, not for reading. The MCP should never be exempt and should not read or honour exemption records.</w:t>
      </w:r>
    </w:p>
    <w:p>
      <w:pPr/>
      <w:r>
        <w:rPr>
          <w:b/>
        </w:rPr>
        <w:t xml:space="preserve">Confidence:</w:t>
      </w:r>
      <w:r>
        <w:t xml:space="preserve"> existence </w:t>
      </w:r>
      <w:r>
        <w:rPr>
          <w:b/>
        </w:rPr>
        <w:t xml:space="preserve">Medium</w:t>
      </w:r>
      <w:r>
        <w:t xml:space="preserve">; rule is a design decision.</w:t>
      </w:r>
    </w:p>
    <w:p>
      <w:pPr>
        <w:pStyle w:val="Heading3"/>
      </w:pPr>
      <w:r>
        <w:t xml:space="preserve">Q11. Where to enforce it (</w:t>
      </w:r>
      <w:r>
        <w:rPr>
          <w:b/>
        </w:rPr>
        <w:t xml:space="preserve">Priority</w:t>
      </w:r>
      <w:r>
        <w:t xml:space="preserve">)</w:t>
      </w:r>
    </w:p>
    <w:p>
      <w:pPr/>
      <w:r>
        <w:rPr>
          <w:b/>
        </w:rPr>
        <w:t xml:space="preserve">Question:</w:t>
      </w:r>
      <w:r>
        <w:t xml:space="preserve"> Is database-level enforcement (VPD) acceptable on tables the JDE application also uses, or would the customer prefer views, a read-only copy or JDE's own REST interface?</w:t>
      </w:r>
    </w:p>
    <w:p>
      <w:pPr/>
      <w:r>
        <w:rPr>
          <w:b/>
        </w:rPr>
        <w:t xml:space="preserve">AI answer:</w:t>
      </w:r>
      <w:r>
        <w:t xml:space="preserve"> Recommended: VPD on only the tables the tools read, written so it applies only to the Toolbox's database user. The filter returns no restriction unless the session user is the Toolbox user, so JDE and all other users are unaffected; for the Toolbox user it fails closed when no identity is set. Alternatives: views need every tool statement rewritten and leave the base tables readable; a read-only copy adds latency and a sync job; AIS (Q13) enforces security natively but is not a general SQL path. Open caveat for the DBA and Oracle support: adding VPD policies to JDE-owned data tables may be outside what Oracle supports for E1.</w:t>
      </w:r>
    </w:p>
    <w:p>
      <w:pPr/>
      <w:r>
        <w:rPr>
          <w:b/>
        </w:rPr>
        <w:t xml:space="preserve">Confidence:</w:t>
      </w:r>
      <w:r>
        <w:t xml:space="preserve"> </w:t>
      </w:r>
      <w:r>
        <w:rPr>
          <w:b/>
        </w:rPr>
        <w:t xml:space="preserve">Medium</w:t>
      </w:r>
      <w:r>
        <w:t xml:space="preserve"> (not tested in a real E1).</w:t>
      </w:r>
    </w:p>
    <w:p>
      <w:pPr>
        <w:pStyle w:val="Heading3"/>
      </w:pPr>
      <w:r>
        <w:t xml:space="preserve">Q12. Joins and business views</w:t>
      </w:r>
    </w:p>
    <w:p>
      <w:pPr/>
      <w:r>
        <w:rPr>
          <w:b/>
        </w:rPr>
        <w:t xml:space="preserve">Question:</w:t>
      </w:r>
      <w:r>
        <w:t xml:space="preserve"> Does JDE apply row security through business views or only base tables, and how are joins between a secured and an unsecured table treated?</w:t>
      </w:r>
    </w:p>
    <w:p>
      <w:pPr/>
      <w:r>
        <w:rPr>
          <w:b/>
        </w:rPr>
        <w:t xml:space="preserve">AI answer:</w:t>
      </w:r>
      <w:r>
        <w:t xml:space="preserve"> Oracle says to set row security on tables, not business views; securing a data item on a table that lacks it has no effect and gives no error. JDE builds the predicate for each table in the statement it generates, so a secured table joined to an unsecured one is filtered only on the secured side. A database filter does the same per table, as long as every joined table that has a secured data item gets one.</w:t>
      </w:r>
    </w:p>
    <w:p>
      <w:pPr/>
      <w:r>
        <w:rPr>
          <w:b/>
        </w:rPr>
        <w:t xml:space="preserve">Confidence:</w:t>
      </w:r>
      <w:r>
        <w:t xml:space="preserve"> Oracle's statement </w:t>
      </w:r>
      <w:r>
        <w:rPr>
          <w:b/>
        </w:rPr>
        <w:t xml:space="preserve">High</w:t>
      </w:r>
      <w:r>
        <w:t xml:space="preserve">; join behaviour </w:t>
      </w:r>
      <w:r>
        <w:rPr>
          <w:b/>
        </w:rPr>
        <w:t xml:space="preserve">Medium</w:t>
      </w:r>
      <w:r>
        <w:t xml:space="preserve">.</w:t>
      </w:r>
    </w:p>
    <w:p>
      <w:pPr>
        <w:pStyle w:val="Heading3"/>
      </w:pPr>
      <w:r>
        <w:t xml:space="preserve">Q13. JDE AIS REST as an alternative</w:t>
      </w:r>
    </w:p>
    <w:p>
      <w:pPr/>
      <w:r>
        <w:rPr>
          <w:b/>
        </w:rPr>
        <w:t xml:space="preserve">Question:</w:t>
      </w:r>
      <w:r>
        <w:t xml:space="preserve"> Should sensitive data sets be read through JDE AIS (REST) instead of SQL, so JDE enforces security itself?</w:t>
      </w:r>
    </w:p>
    <w:p>
      <w:pPr/>
      <w:r>
        <w:rPr>
          <w:b/>
        </w:rPr>
        <w:t xml:space="preserve">AI answer:</w:t>
      </w:r>
      <w:r>
        <w:t xml:space="preserve"> It is valid for a few high-value data sets: calls run as the real JDE user, so row, column, application and action security and address book privacy all apply. Downsides: a separate service with its own credentials and sizing, JDE-defined data shapes instead of free SQL, more latency. I would not replace the SQL tools; I would offer AIS as phase 2 where a customer refuses database-level enforcement. This is mainly a customer decision.</w:t>
      </w:r>
    </w:p>
    <w:p>
      <w:pPr/>
      <w:r>
        <w:rPr>
          <w:b/>
        </w:rPr>
        <w:t xml:space="preserve">Confidence:</w:t>
      </w:r>
      <w:r>
        <w:t xml:space="preserve"> </w:t>
      </w:r>
      <w:r>
        <w:rPr>
          <w:b/>
        </w:rPr>
        <w:t xml:space="preserve">Medium</w:t>
      </w:r>
      <w:r>
        <w:t xml:space="preserve"> (opinion).</w:t>
      </w:r>
    </w:p>
    <w:p>
      <w:pPr>
        <w:pStyle w:val="Heading3"/>
      </w:pPr>
      <w:r>
        <w:t xml:space="preserve">Q14. Performance</w:t>
      </w:r>
    </w:p>
    <w:p>
      <w:pPr/>
      <w:r>
        <w:rPr>
          <w:b/>
        </w:rPr>
        <w:t xml:space="preserve">Question:</w:t>
      </w:r>
      <w:r>
        <w:t xml:space="preserve"> What is the performance impact of many row-security ranges per user, and does JDE cache them?</w:t>
      </w:r>
    </w:p>
    <w:p>
      <w:pPr/>
      <w:r>
        <w:rPr>
          <w:b/>
        </w:rPr>
        <w:t xml:space="preserve">AI answer:</w:t>
      </w:r>
      <w:r>
        <w:t xml:space="preserve"> I found no hard numbers. Oracle says to use row security sparingly; Quest calls the impact minor but real; GSI says inclusive mode produces simpler, faster SQL. What we control: a context-sensitive filter (re-evaluated when the user changes, not on every parse), a predicate cached per user, merged adjacent ranges, and tens of ranges per user at most. Quest reports a site that deleted 25,000 type-4 rows when moving to a cleaner model, which is the failure mode to avoid. Our prototype re-builds the filter on every parse and has not been measured.</w:t>
      </w:r>
    </w:p>
    <w:p>
      <w:pPr/>
      <w:r>
        <w:rPr>
          <w:b/>
        </w:rPr>
        <w:t xml:space="preserve">Confidence:</w:t>
      </w:r>
      <w:r>
        <w:t xml:space="preserve"> </w:t>
      </w:r>
      <w:r>
        <w:rPr>
          <w:b/>
        </w:rPr>
        <w:t xml:space="preserve">Low</w:t>
      </w:r>
      <w:r>
        <w:t xml:space="preserve">.</w:t>
      </w:r>
    </w:p>
    <w:p>
      <w:pPr>
        <w:pStyle w:val="Heading2"/>
      </w:pPr>
      <w:r>
        <w:t xml:space="preserve">Part B: Expert response</w:t>
      </w:r>
    </w:p>
    <w:p>
      <w:pPr/>
      <w:r>
        <w:t xml:space="preserve">Please pick a verdict for each question and write the correction or detail in the last column. A one-line answer is enough; where you correct us, the actual value or behaviour matters more than the reasoning.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w:t>
            </w:r>
          </w:p>
        </w:tc>
        <w:tc>
          <w:tcPr>
            <w:tcW w:w="2340" w:type="dxa"/>
            <w:shd w:val="clear" w:color="auto" w:fill="F2F2F2"/>
          </w:tcPr>
          <w:p>
            <w:pPr/>
            <w:r>
              <w:t xml:space="preserve">Topic</w:t>
            </w:r>
          </w:p>
        </w:tc>
        <w:tc>
          <w:tcPr>
            <w:tcW w:w="2340" w:type="dxa"/>
            <w:shd w:val="clear" w:color="auto" w:fill="F2F2F2"/>
          </w:tcPr>
          <w:p>
            <w:pPr/>
            <w:r>
              <w:t xml:space="preserve">Verdict</w:t>
            </w:r>
          </w:p>
        </w:tc>
        <w:tc>
          <w:tcPr>
            <w:tcW w:w="2340" w:type="dxa"/>
            <w:shd w:val="clear" w:color="auto" w:fill="F2F2F2"/>
          </w:tcPr>
          <w:p>
            <w:pPr/>
            <w:r>
              <w:t xml:space="preserve">Your answer, correction or detail</w:t>
            </w:r>
          </w:p>
        </w:tc>
      </w:tr>
      <w:tr>
        <w:tc>
          <w:tcPr>
            <w:tcW w:w="2340" w:type="dxa"/>
          </w:tcPr>
          <w:p>
            <w:pPr/>
            <w:r>
              <w:t xml:space="preserve">1 (</w:t>
            </w:r>
            <w:r>
              <w:rPr>
                <w:b/>
              </w:rPr>
              <w:t xml:space="preserve">Priority</w:t>
            </w:r>
            <w:r>
              <w:t xml:space="preserve">)</w:t>
            </w:r>
          </w:p>
        </w:tc>
        <w:tc>
          <w:tcPr>
            <w:tcW w:w="2340" w:type="dxa"/>
          </w:tcPr>
          <w:p>
            <w:pPr/>
            <w:r>
              <w:t xml:space="preserve">Type </w:t>
            </w:r>
            <w:r>
              <w:rPr>
                <w:rStyle w:val="CodeChar"/>
              </w:rPr>
              <w:t xml:space="preserve">4</w:t>
            </w:r>
            <w:r>
              <w:t xml:space="preserve"> = row security; meaning of types </w:t>
            </w:r>
            <w:r>
              <w:rPr>
                <w:rStyle w:val="CodeChar"/>
              </w:rPr>
              <w:t xml:space="preserve">9</w:t>
            </w:r>
            <w:r>
              <w:t xml:space="preserve">, </w:t>
            </w:r>
            <w:r>
              <w:rPr>
                <w:rStyle w:val="CodeChar"/>
              </w:rPr>
              <w:t xml:space="preserve">B</w:t>
            </w:r>
            <w:r>
              <w:t xml:space="preserve">, </w:t>
            </w:r>
            <w:r>
              <w:rPr>
                <w:rStyle w:val="CodeChar"/>
              </w:rPr>
              <w:t xml:space="preserve">S</w:t>
            </w:r>
          </w:p>
        </w:tc>
        <w:tc>
          <w:tcPr>
            <w:tcW w:w="2340" w:type="dxa"/>
          </w:tcPr>
          <w:p>
            <w:pPr/>
            <w:r>
              <w:t xml:space="preserve">[Verdict]</w:t>
            </w:r>
          </w:p>
        </w:tc>
        <w:tc>
          <w:tcPr>
            <w:tcW w:w="2340" w:type="dxa"/>
          </w:tcPr>
          <w:p>
            <w:pPr/>
          </w:p>
        </w:tc>
      </w:tr>
      <w:tr>
        <w:tc>
          <w:tcPr>
            <w:tcW w:w="2340" w:type="dxa"/>
          </w:tcPr>
          <w:p>
            <w:pPr/>
            <w:r>
              <w:t xml:space="preserve">2 (</w:t>
            </w:r>
            <w:r>
              <w:rPr>
                <w:b/>
              </w:rPr>
              <w:t xml:space="preserve">Priority</w:t>
            </w:r>
            <w:r>
              <w:t xml:space="preserve">)</w:t>
            </w:r>
          </w:p>
        </w:tc>
        <w:tc>
          <w:tcPr>
            <w:tcW w:w="2340" w:type="dxa"/>
          </w:tcPr>
          <w:p>
            <w:pPr/>
            <w:r>
              <w:t xml:space="preserve">Column mapping of a row-security record</w:t>
            </w:r>
          </w:p>
        </w:tc>
        <w:tc>
          <w:tcPr>
            <w:tcW w:w="2340" w:type="dxa"/>
          </w:tcPr>
          <w:p>
            <w:pPr/>
            <w:r>
              <w:t xml:space="preserve">[Verdict]</w:t>
            </w:r>
          </w:p>
        </w:tc>
        <w:tc>
          <w:tcPr>
            <w:tcW w:w="2340" w:type="dxa"/>
          </w:tcPr>
          <w:p>
            <w:pPr/>
          </w:p>
        </w:tc>
      </w:tr>
      <w:tr>
        <w:tc>
          <w:tcPr>
            <w:tcW w:w="2340" w:type="dxa"/>
          </w:tcPr>
          <w:p>
            <w:pPr/>
            <w:r>
              <w:t xml:space="preserve">3 (</w:t>
            </w:r>
            <w:r>
              <w:rPr>
                <w:b/>
              </w:rPr>
              <w:t xml:space="preserve">Priority</w:t>
            </w:r>
            <w:r>
              <w:t xml:space="preserve">)</w:t>
            </w:r>
          </w:p>
        </w:tc>
        <w:tc>
          <w:tcPr>
            <w:tcW w:w="2340" w:type="dxa"/>
          </w:tcPr>
          <w:p>
            <w:pPr/>
            <w:r>
              <w:t xml:space="preserve">Inclusive / exclusive flag: where and in which format</w:t>
            </w:r>
          </w:p>
        </w:tc>
        <w:tc>
          <w:tcPr>
            <w:tcW w:w="2340" w:type="dxa"/>
          </w:tcPr>
          <w:p>
            <w:pPr/>
            <w:r>
              <w:t xml:space="preserve">[Verdict]</w:t>
            </w:r>
          </w:p>
        </w:tc>
        <w:tc>
          <w:tcPr>
            <w:tcW w:w="2340" w:type="dxa"/>
          </w:tcPr>
          <w:p>
            <w:pPr/>
          </w:p>
        </w:tc>
      </w:tr>
      <w:tr>
        <w:tc>
          <w:tcPr>
            <w:tcW w:w="2340" w:type="dxa"/>
          </w:tcPr>
          <w:p>
            <w:pPr/>
            <w:r>
              <w:t xml:space="preserve">4</w:t>
            </w:r>
          </w:p>
        </w:tc>
        <w:tc>
          <w:tcPr>
            <w:tcW w:w="2340" w:type="dxa"/>
          </w:tcPr>
          <w:p>
            <w:pPr/>
            <w:r>
              <w:t xml:space="preserve">Value formats: padding, blank thru, </w:t>
            </w:r>
            <w:r>
              <w:rPr>
                <w:rStyle w:val="CodeChar"/>
              </w:rPr>
              <w:t xml:space="preserve">*BLANKS</w:t>
            </w:r>
          </w:p>
        </w:tc>
        <w:tc>
          <w:tcPr>
            <w:tcW w:w="2340" w:type="dxa"/>
          </w:tcPr>
          <w:p>
            <w:pPr/>
            <w:r>
              <w:t xml:space="preserve">[Verdict]</w:t>
            </w:r>
          </w:p>
        </w:tc>
        <w:tc>
          <w:tcPr>
            <w:tcW w:w="2340" w:type="dxa"/>
          </w:tcPr>
          <w:p>
            <w:pPr/>
          </w:p>
        </w:tc>
      </w:tr>
      <w:tr>
        <w:tc>
          <w:tcPr>
            <w:tcW w:w="2340" w:type="dxa"/>
          </w:tcPr>
          <w:p>
            <w:pPr/>
            <w:r>
              <w:t xml:space="preserve">5</w:t>
            </w:r>
          </w:p>
        </w:tc>
        <w:tc>
          <w:tcPr>
            <w:tcW w:w="2340" w:type="dxa"/>
          </w:tcPr>
          <w:p>
            <w:pPr/>
            <w:r>
              <w:rPr>
                <w:rStyle w:val="CodeChar"/>
              </w:rPr>
              <w:t xml:space="preserve">F98711</w:t>
            </w:r>
            <w:r>
              <w:t xml:space="preserve"> as the table / data item / column source</w:t>
            </w:r>
          </w:p>
        </w:tc>
        <w:tc>
          <w:tcPr>
            <w:tcW w:w="2340" w:type="dxa"/>
          </w:tcPr>
          <w:p>
            <w:pPr/>
            <w:r>
              <w:t xml:space="preserve">[Verdict]</w:t>
            </w:r>
          </w:p>
        </w:tc>
        <w:tc>
          <w:tcPr>
            <w:tcW w:w="2340" w:type="dxa"/>
          </w:tcPr>
          <w:p>
            <w:pPr/>
          </w:p>
        </w:tc>
      </w:tr>
      <w:tr>
        <w:tc>
          <w:tcPr>
            <w:tcW w:w="2340" w:type="dxa"/>
          </w:tcPr>
          <w:p>
            <w:pPr/>
            <w:r>
              <w:t xml:space="preserve">6 (</w:t>
            </w:r>
            <w:r>
              <w:rPr>
                <w:b/>
              </w:rPr>
              <w:t xml:space="preserve">Priority</w:t>
            </w:r>
            <w:r>
              <w:t xml:space="preserve">)</w:t>
            </w:r>
          </w:p>
        </w:tc>
        <w:tc>
          <w:tcPr>
            <w:tcW w:w="2340" w:type="dxa"/>
          </w:tcPr>
          <w:p>
            <w:pPr/>
            <w:r>
              <w:t xml:space="preserve">Roles, effective dates, several roles, which level wins</w:t>
            </w:r>
          </w:p>
        </w:tc>
        <w:tc>
          <w:tcPr>
            <w:tcW w:w="2340" w:type="dxa"/>
          </w:tcPr>
          <w:p>
            <w:pPr/>
            <w:r>
              <w:t xml:space="preserve">[Verdict]</w:t>
            </w:r>
          </w:p>
        </w:tc>
        <w:tc>
          <w:tcPr>
            <w:tcW w:w="2340" w:type="dxa"/>
          </w:tcPr>
          <w:p>
            <w:pPr/>
          </w:p>
        </w:tc>
      </w:tr>
      <w:tr>
        <w:tc>
          <w:tcPr>
            <w:tcW w:w="2340" w:type="dxa"/>
          </w:tcPr>
          <w:p>
            <w:pPr/>
            <w:r>
              <w:t xml:space="preserve">7 (</w:t>
            </w:r>
            <w:r>
              <w:rPr>
                <w:b/>
              </w:rPr>
              <w:t xml:space="preserve">Priority</w:t>
            </w:r>
            <w:r>
              <w:t xml:space="preserve">)</w:t>
            </w:r>
          </w:p>
        </w:tc>
        <w:tc>
          <w:tcPr>
            <w:tcW w:w="2340" w:type="dxa"/>
          </w:tcPr>
          <w:p>
            <w:pPr/>
            <w:r>
              <w:t xml:space="preserve">No rules for a data item: unrestricted or hidden</w:t>
            </w:r>
          </w:p>
        </w:tc>
        <w:tc>
          <w:tcPr>
            <w:tcW w:w="2340" w:type="dxa"/>
          </w:tcPr>
          <w:p>
            <w:pPr/>
            <w:r>
              <w:t xml:space="preserve">[Verdict]</w:t>
            </w:r>
          </w:p>
        </w:tc>
        <w:tc>
          <w:tcPr>
            <w:tcW w:w="2340" w:type="dxa"/>
          </w:tcPr>
          <w:p>
            <w:pPr/>
          </w:p>
        </w:tc>
      </w:tr>
      <w:tr>
        <w:tc>
          <w:tcPr>
            <w:tcW w:w="2340" w:type="dxa"/>
          </w:tcPr>
          <w:p>
            <w:pPr/>
            <w:r>
              <w:t xml:space="preserve">8</w:t>
            </w:r>
          </w:p>
        </w:tc>
        <w:tc>
          <w:tcPr>
            <w:tcW w:w="2340" w:type="dxa"/>
          </w:tcPr>
          <w:p>
            <w:pPr/>
            <w:r>
              <w:t xml:space="preserve">Other controls (column, address book privacy, application, action)</w:t>
            </w:r>
          </w:p>
        </w:tc>
        <w:tc>
          <w:tcPr>
            <w:tcW w:w="2340" w:type="dxa"/>
          </w:tcPr>
          <w:p>
            <w:pPr/>
            <w:r>
              <w:t xml:space="preserve">[Verdict]</w:t>
            </w:r>
          </w:p>
        </w:tc>
        <w:tc>
          <w:tcPr>
            <w:tcW w:w="2340" w:type="dxa"/>
          </w:tcPr>
          <w:p>
            <w:pPr/>
          </w:p>
        </w:tc>
      </w:tr>
      <w:tr>
        <w:tc>
          <w:tcPr>
            <w:tcW w:w="2340" w:type="dxa"/>
          </w:tcPr>
          <w:p>
            <w:pPr/>
            <w:r>
              <w:t xml:space="preserve">9 (</w:t>
            </w:r>
            <w:r>
              <w:rPr>
                <w:b/>
              </w:rPr>
              <w:t xml:space="preserve">Priority</w:t>
            </w:r>
            <w:r>
              <w:t xml:space="preserve">)</w:t>
            </w:r>
          </w:p>
        </w:tc>
        <w:tc>
          <w:tcPr>
            <w:tcW w:w="2340" w:type="dxa"/>
          </w:tcPr>
          <w:p>
            <w:pPr/>
            <w:r>
              <w:t xml:space="preserve">E-mail to JDE user link</w:t>
            </w:r>
          </w:p>
        </w:tc>
        <w:tc>
          <w:tcPr>
            <w:tcW w:w="2340" w:type="dxa"/>
          </w:tcPr>
          <w:p>
            <w:pPr/>
            <w:r>
              <w:t xml:space="preserve">[Verdict]</w:t>
            </w:r>
          </w:p>
        </w:tc>
        <w:tc>
          <w:tcPr>
            <w:tcW w:w="2340" w:type="dxa"/>
          </w:tcPr>
          <w:p>
            <w:pPr/>
          </w:p>
        </w:tc>
      </w:tr>
      <w:tr>
        <w:tc>
          <w:tcPr>
            <w:tcW w:w="2340" w:type="dxa"/>
          </w:tcPr>
          <w:p>
            <w:pPr/>
            <w:r>
              <w:t xml:space="preserve">10</w:t>
            </w:r>
          </w:p>
        </w:tc>
        <w:tc>
          <w:tcPr>
            <w:tcW w:w="2340" w:type="dxa"/>
          </w:tcPr>
          <w:p>
            <w:pPr/>
            <w:r>
              <w:t xml:space="preserve">Exemptions never apply to the MCP</w:t>
            </w:r>
          </w:p>
        </w:tc>
        <w:tc>
          <w:tcPr>
            <w:tcW w:w="2340" w:type="dxa"/>
          </w:tcPr>
          <w:p>
            <w:pPr/>
            <w:r>
              <w:t xml:space="preserve">[Verdict]</w:t>
            </w:r>
          </w:p>
        </w:tc>
        <w:tc>
          <w:tcPr>
            <w:tcW w:w="2340" w:type="dxa"/>
          </w:tcPr>
          <w:p>
            <w:pPr/>
          </w:p>
        </w:tc>
      </w:tr>
      <w:tr>
        <w:tc>
          <w:tcPr>
            <w:tcW w:w="2340" w:type="dxa"/>
          </w:tcPr>
          <w:p>
            <w:pPr/>
            <w:r>
              <w:t xml:space="preserve">11 (</w:t>
            </w:r>
            <w:r>
              <w:rPr>
                <w:b/>
              </w:rPr>
              <w:t xml:space="preserve">Priority</w:t>
            </w:r>
            <w:r>
              <w:t xml:space="preserve">)</w:t>
            </w:r>
          </w:p>
        </w:tc>
        <w:tc>
          <w:tcPr>
            <w:tcW w:w="2340" w:type="dxa"/>
          </w:tcPr>
          <w:p>
            <w:pPr/>
            <w:r>
              <w:t xml:space="preserve">Database-level filter for the Toolbox user only; Oracle support position</w:t>
            </w:r>
          </w:p>
        </w:tc>
        <w:tc>
          <w:tcPr>
            <w:tcW w:w="2340" w:type="dxa"/>
          </w:tcPr>
          <w:p>
            <w:pPr/>
            <w:r>
              <w:t xml:space="preserve">[Verdict]</w:t>
            </w:r>
          </w:p>
        </w:tc>
        <w:tc>
          <w:tcPr>
            <w:tcW w:w="2340" w:type="dxa"/>
          </w:tcPr>
          <w:p>
            <w:pPr/>
          </w:p>
        </w:tc>
      </w:tr>
      <w:tr>
        <w:tc>
          <w:tcPr>
            <w:tcW w:w="2340" w:type="dxa"/>
          </w:tcPr>
          <w:p>
            <w:pPr/>
            <w:r>
              <w:t xml:space="preserve">12</w:t>
            </w:r>
          </w:p>
        </w:tc>
        <w:tc>
          <w:tcPr>
            <w:tcW w:w="2340" w:type="dxa"/>
          </w:tcPr>
          <w:p>
            <w:pPr/>
            <w:r>
              <w:t xml:space="preserve">Joins and business views</w:t>
            </w:r>
          </w:p>
        </w:tc>
        <w:tc>
          <w:tcPr>
            <w:tcW w:w="2340" w:type="dxa"/>
          </w:tcPr>
          <w:p>
            <w:pPr/>
            <w:r>
              <w:t xml:space="preserve">[Verdict]</w:t>
            </w:r>
          </w:p>
        </w:tc>
        <w:tc>
          <w:tcPr>
            <w:tcW w:w="2340" w:type="dxa"/>
          </w:tcPr>
          <w:p>
            <w:pPr/>
          </w:p>
        </w:tc>
      </w:tr>
      <w:tr>
        <w:tc>
          <w:tcPr>
            <w:tcW w:w="2340" w:type="dxa"/>
          </w:tcPr>
          <w:p>
            <w:pPr/>
            <w:r>
              <w:t xml:space="preserve">13</w:t>
            </w:r>
          </w:p>
        </w:tc>
        <w:tc>
          <w:tcPr>
            <w:tcW w:w="2340" w:type="dxa"/>
          </w:tcPr>
          <w:p>
            <w:pPr/>
            <w:r>
              <w:t xml:space="preserve">AIS REST as phase 2</w:t>
            </w:r>
          </w:p>
        </w:tc>
        <w:tc>
          <w:tcPr>
            <w:tcW w:w="2340" w:type="dxa"/>
          </w:tcPr>
          <w:p>
            <w:pPr/>
            <w:r>
              <w:t xml:space="preserve">[Verdict]</w:t>
            </w:r>
          </w:p>
        </w:tc>
        <w:tc>
          <w:tcPr>
            <w:tcW w:w="2340" w:type="dxa"/>
          </w:tcPr>
          <w:p>
            <w:pPr/>
          </w:p>
        </w:tc>
      </w:tr>
      <w:tr>
        <w:tc>
          <w:tcPr>
            <w:tcW w:w="2340" w:type="dxa"/>
          </w:tcPr>
          <w:p>
            <w:pPr/>
            <w:r>
              <w:t xml:space="preserve">14</w:t>
            </w:r>
          </w:p>
        </w:tc>
        <w:tc>
          <w:tcPr>
            <w:tcW w:w="2340" w:type="dxa"/>
          </w:tcPr>
          <w:p>
            <w:pPr/>
            <w:r>
              <w:t xml:space="preserve">Performance and caching</w:t>
            </w:r>
          </w:p>
        </w:tc>
        <w:tc>
          <w:tcPr>
            <w:tcW w:w="2340" w:type="dxa"/>
          </w:tcPr>
          <w:p>
            <w:pPr/>
            <w:r>
              <w:t xml:space="preserve">[Verdict]</w:t>
            </w:r>
          </w:p>
        </w:tc>
        <w:tc>
          <w:tcPr>
            <w:tcW w:w="2340" w:type="dxa"/>
          </w:tcPr>
          <w:p>
            <w:pPr/>
          </w:p>
        </w:tc>
      </w:tr>
    </w:tbl>
    <w:p>
      <w:pPr>
        <w:pStyle w:val="Heading3"/>
      </w:pPr>
      <w:r>
        <w:t xml:space="preserve">Sample data we would like (please remove names and other personal data)</w:t>
      </w:r>
    </w:p>
    <w:p>
      <w:pPr>
        <w:pStyle w:val="ListParagraph"/>
        <w:numPr>
          <w:ilvl w:val="0"/>
          <w:numId w:val="4"/>
        </w:numPr>
      </w:pPr>
      <w:r>
        <w:t xml:space="preserve">☐ 5 to 10 real type-4 rows from </w:t>
      </w:r>
      <w:r>
        <w:rPr>
          <w:rStyle w:val="CodeChar"/>
        </w:rPr>
        <w:t xml:space="preserve">F00950</w:t>
      </w:r>
      <w:r>
        <w:t xml:space="preserve"> (</w:t>
      </w:r>
      <w:r>
        <w:rPr>
          <w:rStyle w:val="CodeChar"/>
        </w:rPr>
        <w:t xml:space="preserve">SELECT * FROM F00950 WHERE FSSETY = '4'</w:t>
      </w:r>
      <w:r>
        <w:t xml:space="preserve">), covering a user, a role and </w:t>
      </w:r>
      <w:r>
        <w:rPr>
          <w:rStyle w:val="CodeChar"/>
        </w:rPr>
        <w:t xml:space="preserve">*PUBLIC</w:t>
      </w:r>
      <w:r>
        <w:t xml:space="preserve">, with </w:t>
      </w:r>
      <w:r>
        <w:rPr>
          <w:rStyle w:val="CodeChar"/>
        </w:rPr>
        <w:t xml:space="preserve">MCU</w:t>
      </w:r>
      <w:r>
        <w:t xml:space="preserve">, </w:t>
      </w:r>
      <w:r>
        <w:rPr>
          <w:rStyle w:val="CodeChar"/>
        </w:rPr>
        <w:t xml:space="preserve">CO</w:t>
      </w:r>
      <w:r>
        <w:t xml:space="preserve"> and </w:t>
      </w:r>
      <w:r>
        <w:rPr>
          <w:rStyle w:val="CodeChar"/>
        </w:rPr>
        <w:t xml:space="preserve">AN8</w:t>
      </w:r>
      <w:r>
        <w:t xml:space="preserve"> if available.</w:t>
      </w:r>
    </w:p>
    <w:p>
      <w:pPr>
        <w:pStyle w:val="ListParagraph"/>
        <w:numPr>
          <w:ilvl w:val="0"/>
          <w:numId w:val="4"/>
        </w:numPr>
      </w:pPr>
      <w:r>
        <w:t xml:space="preserve">☐ The </w:t>
      </w:r>
      <w:r>
        <w:rPr>
          <w:rStyle w:val="CodeChar"/>
        </w:rPr>
        <w:t xml:space="preserve">F00950</w:t>
      </w:r>
      <w:r>
        <w:t xml:space="preserve"> record that holds the inclusive / exclusive flag on a system set to inclusive (and one on exclusive if you have both).</w:t>
      </w:r>
    </w:p>
    <w:p>
      <w:pPr>
        <w:pStyle w:val="ListParagraph"/>
        <w:numPr>
          <w:ilvl w:val="0"/>
          <w:numId w:val="4"/>
        </w:numPr>
      </w:pPr>
      <w:r>
        <w:t xml:space="preserve">☐ A few </w:t>
      </w:r>
      <w:r>
        <w:rPr>
          <w:rStyle w:val="CodeChar"/>
        </w:rPr>
        <w:t xml:space="preserve">F95921</w:t>
      </w:r>
      <w:r>
        <w:t xml:space="preserve"> rows for a user with two or more roles, including effective and expiry dates.</w:t>
      </w:r>
    </w:p>
    <w:p>
      <w:pPr>
        <w:pStyle w:val="ListParagraph"/>
        <w:numPr>
          <w:ilvl w:val="0"/>
          <w:numId w:val="4"/>
        </w:numPr>
      </w:pPr>
      <w:r>
        <w:t xml:space="preserve">☐ A few rows from </w:t>
      </w:r>
      <w:r>
        <w:rPr>
          <w:rStyle w:val="CodeChar"/>
        </w:rPr>
        <w:t xml:space="preserve">F0092</w:t>
      </w:r>
      <w:r>
        <w:t xml:space="preserve">, </w:t>
      </w:r>
      <w:r>
        <w:rPr>
          <w:rStyle w:val="CodeChar"/>
        </w:rPr>
        <w:t xml:space="preserve">F00926</w:t>
      </w:r>
      <w:r>
        <w:t xml:space="preserve"> and </w:t>
      </w:r>
      <w:r>
        <w:rPr>
          <w:rStyle w:val="CodeChar"/>
        </w:rPr>
        <w:t xml:space="preserve">F01151</w:t>
      </w:r>
      <w:r>
        <w:t xml:space="preserve"> showing how a real user's e-mail is stored.</w:t>
      </w:r>
    </w:p>
    <w:p>
      <w:pPr>
        <w:pStyle w:val="Heading3"/>
      </w:pPr>
      <w:r>
        <w:t xml:space="preserve">Anything we did not ask</w:t>
      </w:r>
    </w:p>
    <w:p>
      <w:pPr/>
      <w:r>
        <w:t xml:space="preserve">What else would you check before trusting a database-side reproduction of JDE row security?</w:t>
      </w:r>
    </w:p>
    <w:p>
      <w:pPr>
        <w:pStyle w:val="Heading3"/>
      </w:pPr>
      <w:r>
        <w:t xml:space="preserve">Who answered</w:t>
      </w:r>
    </w:p>
    <w:p>
      <w:pPr/>
      <w:r>
        <w:t xml:space="preserve">Name, role and JDE experience (for example years and releases), and the date.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JDE Row Security Questions for Expert Review</dc:title>
  <dc:description>Claude Docs node/f9ceacaa-2aa4@8 docx-w6</dc:description>
  <cp:revision>8</cp:revision>
</cp:coreProperties>
</file>