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0.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Catalog</w:t>
      </w:r>
      <w:r>
        <w:t xml:space="preserve"> </w:t>
      </w:r>
      <w:r>
        <w:t xml:space="preserve">2022-2023</w:t>
      </w:r>
    </w:p>
    <w:p>
      <w:pPr>
        <w:pStyle w:val="Date"/>
      </w:pPr>
      <w:r>
        <w:t xml:space="preserve">2022-08-01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w:t>
      </w:r>
      <w:r>
        <w:t xml:space="preserve">made available for the education of females as well as males.</w:t>
      </w:r>
      <w:r>
        <w:t xml:space="preserve">”</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w:t>
      </w:r>
      <w:r>
        <w:t xml:space="preserve">F</w:t>
      </w:r>
      <w:r>
        <w:t xml:space="preserve">”</w:t>
      </w:r>
      <w:r>
        <w:t xml:space="preserve"> </w:t>
      </w:r>
      <w:r>
        <w:t xml:space="preserve">to</w:t>
      </w:r>
      <w:r>
        <w:t xml:space="preserve"> </w:t>
      </w:r>
      <w:r>
        <w:t xml:space="preserve">“</w:t>
      </w:r>
      <w:r>
        <w:t xml:space="preserve">NP</w:t>
      </w:r>
      <w:r>
        <w:t xml:space="preserve">”</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w:t>
      </w:r>
      <w:r>
        <w:t xml:space="preserve">a series of intensive writing experiences, spread across four years of study.</w:t>
      </w:r>
      <w:r>
        <w:t xml:space="preserve">”</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t>
      </w:r>
      <w:r>
        <w:t xml:space="preserve">Writing Emphasis</w:t>
      </w:r>
      <w:r>
        <w:t xml:space="preserve">”</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w:t>
      </w:r>
      <w:r>
        <w:t xml:space="preserve">RHE-200 Rhetorical Theory &amp; Practice (WE).</w:t>
      </w:r>
      <w:r>
        <w:t xml:space="preserve">”</w:t>
      </w:r>
      <w:r>
        <w:t xml:space="preserve"> </w:t>
      </w:r>
      <w:r>
        <w:t xml:space="preserve">In other contexts, the course code may end with a</w:t>
      </w:r>
      <w:r>
        <w:t xml:space="preserve"> </w:t>
      </w:r>
      <w:r>
        <w:t xml:space="preserve">“</w:t>
      </w:r>
      <w:r>
        <w:t xml:space="preserve">W</w:t>
      </w:r>
      <w:r>
        <w:t xml:space="preserve">”</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w:t>
      </w:r>
      <w:r>
        <w:t xml:space="preserve">C</w:t>
      </w:r>
      <w:r>
        <w:t xml:space="preserve">”</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w:t>
      </w:r>
      <w:r>
        <w:t xml:space="preserve">Upper division</w:t>
      </w:r>
      <w:r>
        <w:t xml:space="preserve">”</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w:t>
      </w:r>
      <w:r>
        <w:t xml:space="preserve">C</w:t>
      </w:r>
      <w:r>
        <w:t xml:space="preserve">”</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w:t>
      </w:r>
      <w:r>
        <w:t xml:space="preserve">Discovery</w:t>
      </w:r>
      <w:r>
        <w:t xml:space="preserve">”</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w:t>
      </w:r>
      <w:r>
        <w:t xml:space="preserve">Graduating with Distinction Form</w:t>
      </w:r>
      <w:r>
        <w:t xml:space="preserve">”</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w:t>
      </w:r>
      <w:r>
        <w:t xml:space="preserve">Dean’s List</w:t>
      </w:r>
      <w:r>
        <w:t xml:space="preserve">”</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w:t>
      </w:r>
      <w:r>
        <w:t xml:space="preserve">open house</w:t>
      </w:r>
      <w:r>
        <w:t xml:space="preserve">”</w:t>
      </w:r>
      <w:r>
        <w:t xml:space="preserve"> </w:t>
      </w:r>
      <w:r>
        <w:t xml:space="preserve">for students, faculty, and visitors.</w:t>
      </w:r>
      <w:r>
        <w:t xml:space="preserve"> </w:t>
      </w:r>
      <w:r>
        <w:t xml:space="preserve">“</w:t>
      </w:r>
      <w:r>
        <w:t xml:space="preserve">Charlie’s,</w:t>
      </w:r>
      <w:r>
        <w:t xml:space="preserve">”</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jc w:val="left"/>
            </w:pPr>
            <w:r>
              <w:t xml:space="preserve">A</w:t>
            </w:r>
          </w:p>
        </w:tc>
        <w:tc>
          <w:tcPr/>
          <w:p>
            <w:pPr>
              <w:pStyle w:val="Compact"/>
              <w:jc w:val="left"/>
            </w:pPr>
            <w:r>
              <w:t xml:space="preserve">Excellent</w:t>
            </w:r>
          </w:p>
        </w:tc>
        <w:tc>
          <w:tcPr/>
          <w:p>
            <w:pPr>
              <w:pStyle w:val="Compact"/>
              <w:jc w:val="left"/>
            </w:pPr>
            <w:r>
              <w:t xml:space="preserve">4.0 grade points per course credit</w:t>
            </w:r>
          </w:p>
        </w:tc>
      </w:tr>
      <w:tr>
        <w:tc>
          <w:tcPr/>
          <w:p>
            <w:pPr>
              <w:pStyle w:val="Compact"/>
              <w:jc w:val="left"/>
            </w:pPr>
            <w:r>
              <w:t xml:space="preserve">A-</w:t>
            </w:r>
          </w:p>
        </w:tc>
        <w:tc>
          <w:tcPr/>
          <w:p>
            <w:pPr>
              <w:pStyle w:val="Compact"/>
            </w:pPr>
          </w:p>
        </w:tc>
        <w:tc>
          <w:tcPr/>
          <w:p>
            <w:pPr>
              <w:pStyle w:val="Compact"/>
              <w:jc w:val="left"/>
            </w:pPr>
            <w:r>
              <w:t xml:space="preserve">3.7 grade points per course credit</w:t>
            </w:r>
          </w:p>
        </w:tc>
      </w:tr>
      <w:tr>
        <w:tc>
          <w:tcPr/>
          <w:p>
            <w:pPr>
              <w:pStyle w:val="Compact"/>
              <w:jc w:val="left"/>
            </w:pPr>
            <w:r>
              <w:t xml:space="preserve">B+</w:t>
            </w:r>
          </w:p>
        </w:tc>
        <w:tc>
          <w:tcPr/>
          <w:p>
            <w:pPr>
              <w:pStyle w:val="Compact"/>
            </w:pPr>
          </w:p>
        </w:tc>
        <w:tc>
          <w:tcPr/>
          <w:p>
            <w:pPr>
              <w:pStyle w:val="Compact"/>
              <w:jc w:val="left"/>
            </w:pPr>
            <w:r>
              <w:t xml:space="preserve">3.3 grade points per course credit</w:t>
            </w:r>
          </w:p>
        </w:tc>
      </w:tr>
      <w:tr>
        <w:tc>
          <w:tcPr/>
          <w:p>
            <w:pPr>
              <w:pStyle w:val="Compact"/>
              <w:jc w:val="left"/>
            </w:pPr>
            <w:r>
              <w:t xml:space="preserve">B</w:t>
            </w:r>
          </w:p>
        </w:tc>
        <w:tc>
          <w:tcPr/>
          <w:p>
            <w:pPr>
              <w:pStyle w:val="Compact"/>
              <w:jc w:val="left"/>
            </w:pPr>
            <w:r>
              <w:t xml:space="preserve">Above average</w:t>
            </w:r>
          </w:p>
        </w:tc>
        <w:tc>
          <w:tcPr/>
          <w:p>
            <w:pPr>
              <w:pStyle w:val="Compact"/>
              <w:jc w:val="left"/>
            </w:pPr>
            <w:r>
              <w:t xml:space="preserve">3.0 grade points per course credit</w:t>
            </w:r>
          </w:p>
        </w:tc>
      </w:tr>
      <w:tr>
        <w:tc>
          <w:tcPr/>
          <w:p>
            <w:pPr>
              <w:pStyle w:val="Compact"/>
              <w:jc w:val="left"/>
            </w:pPr>
            <w:r>
              <w:t xml:space="preserve">B-</w:t>
            </w:r>
          </w:p>
        </w:tc>
        <w:tc>
          <w:tcPr/>
          <w:p>
            <w:pPr>
              <w:pStyle w:val="Compact"/>
            </w:pPr>
          </w:p>
        </w:tc>
        <w:tc>
          <w:tcPr/>
          <w:p>
            <w:pPr>
              <w:pStyle w:val="Compact"/>
              <w:jc w:val="left"/>
            </w:pPr>
            <w:r>
              <w:t xml:space="preserve">2.7 grade points per course credit</w:t>
            </w:r>
          </w:p>
        </w:tc>
      </w:tr>
      <w:tr>
        <w:tc>
          <w:tcPr/>
          <w:p>
            <w:pPr>
              <w:pStyle w:val="Compact"/>
              <w:jc w:val="left"/>
            </w:pPr>
            <w:r>
              <w:t xml:space="preserve">C+</w:t>
            </w:r>
          </w:p>
        </w:tc>
        <w:tc>
          <w:tcPr/>
          <w:p>
            <w:pPr>
              <w:pStyle w:val="Compact"/>
            </w:pPr>
          </w:p>
        </w:tc>
        <w:tc>
          <w:tcPr/>
          <w:p>
            <w:pPr>
              <w:pStyle w:val="Compact"/>
              <w:jc w:val="left"/>
            </w:pPr>
            <w:r>
              <w:t xml:space="preserve">2.3 grade points per course credit</w:t>
            </w:r>
          </w:p>
        </w:tc>
      </w:tr>
      <w:tr>
        <w:tc>
          <w:tcPr/>
          <w:p>
            <w:pPr>
              <w:pStyle w:val="Compact"/>
              <w:jc w:val="left"/>
            </w:pPr>
            <w:r>
              <w:t xml:space="preserve">C</w:t>
            </w:r>
          </w:p>
        </w:tc>
        <w:tc>
          <w:tcPr/>
          <w:p>
            <w:pPr>
              <w:pStyle w:val="Compact"/>
              <w:jc w:val="left"/>
            </w:pPr>
            <w:r>
              <w:t xml:space="preserve">Satisfactory, minimum expectation credit</w:t>
            </w:r>
          </w:p>
        </w:tc>
        <w:tc>
          <w:tcPr/>
          <w:p>
            <w:pPr>
              <w:pStyle w:val="Compact"/>
              <w:jc w:val="left"/>
            </w:pPr>
            <w:r>
              <w:t xml:space="preserve">2.0 grade points per course credit</w:t>
            </w:r>
          </w:p>
        </w:tc>
      </w:tr>
      <w:tr>
        <w:tc>
          <w:tcPr/>
          <w:p>
            <w:pPr>
              <w:pStyle w:val="Compact"/>
              <w:jc w:val="left"/>
            </w:pPr>
            <w:r>
              <w:t xml:space="preserve">C-</w:t>
            </w:r>
          </w:p>
        </w:tc>
        <w:tc>
          <w:tcPr/>
          <w:p>
            <w:pPr>
              <w:pStyle w:val="Compact"/>
            </w:pPr>
          </w:p>
        </w:tc>
        <w:tc>
          <w:tcPr/>
          <w:p>
            <w:pPr>
              <w:pStyle w:val="Compact"/>
              <w:jc w:val="left"/>
            </w:pPr>
            <w:r>
              <w:t xml:space="preserve">1.7 grade points per course credit</w:t>
            </w:r>
          </w:p>
        </w:tc>
      </w:tr>
      <w:tr>
        <w:tc>
          <w:tcPr/>
          <w:p>
            <w:pPr>
              <w:pStyle w:val="Compact"/>
              <w:jc w:val="left"/>
            </w:pPr>
            <w:r>
              <w:t xml:space="preserve">D+</w:t>
            </w:r>
          </w:p>
        </w:tc>
        <w:tc>
          <w:tcPr/>
          <w:p>
            <w:pPr>
              <w:pStyle w:val="Compact"/>
            </w:pPr>
          </w:p>
        </w:tc>
        <w:tc>
          <w:tcPr/>
          <w:p>
            <w:pPr>
              <w:pStyle w:val="Compact"/>
              <w:jc w:val="left"/>
            </w:pPr>
            <w:r>
              <w:t xml:space="preserve">1.3 grade points per course credit</w:t>
            </w:r>
          </w:p>
        </w:tc>
      </w:tr>
      <w:tr>
        <w:tc>
          <w:tcPr/>
          <w:p>
            <w:pPr>
              <w:pStyle w:val="Compact"/>
              <w:jc w:val="left"/>
            </w:pPr>
            <w:r>
              <w:t xml:space="preserve">D</w:t>
            </w:r>
          </w:p>
        </w:tc>
        <w:tc>
          <w:tcPr/>
          <w:p>
            <w:pPr>
              <w:pStyle w:val="Compact"/>
              <w:jc w:val="left"/>
            </w:pPr>
            <w:r>
              <w:t xml:space="preserve">Passing, below expectation</w:t>
            </w:r>
          </w:p>
        </w:tc>
        <w:tc>
          <w:tcPr/>
          <w:p>
            <w:pPr>
              <w:pStyle w:val="Compact"/>
              <w:jc w:val="left"/>
            </w:pPr>
            <w:r>
              <w:t xml:space="preserve">1.0 grade points per course credit</w:t>
            </w:r>
          </w:p>
        </w:tc>
      </w:tr>
      <w:tr>
        <w:tc>
          <w:tcPr/>
          <w:p>
            <w:pPr>
              <w:pStyle w:val="Compact"/>
              <w:jc w:val="left"/>
            </w:pPr>
            <w:r>
              <w:t xml:space="preserve">D-</w:t>
            </w:r>
          </w:p>
        </w:tc>
        <w:tc>
          <w:tcPr/>
          <w:p>
            <w:pPr>
              <w:pStyle w:val="Compact"/>
            </w:pPr>
          </w:p>
        </w:tc>
        <w:tc>
          <w:tcPr/>
          <w:p>
            <w:pPr>
              <w:pStyle w:val="Compact"/>
              <w:jc w:val="left"/>
            </w:pPr>
            <w:r>
              <w:t xml:space="preserve">0.7 grade points per course credit</w:t>
            </w:r>
          </w:p>
        </w:tc>
      </w:tr>
      <w:tr>
        <w:tc>
          <w:tcPr/>
          <w:p>
            <w:pPr>
              <w:pStyle w:val="Compact"/>
              <w:jc w:val="left"/>
            </w:pPr>
            <w:r>
              <w:t xml:space="preserve">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WF</w:t>
            </w:r>
          </w:p>
        </w:tc>
        <w:tc>
          <w:tcPr/>
          <w:p>
            <w:pPr>
              <w:pStyle w:val="Compact"/>
              <w:jc w:val="left"/>
            </w:pPr>
            <w:r>
              <w:t xml:space="preserve">Failure</w:t>
            </w:r>
          </w:p>
        </w:tc>
        <w:tc>
          <w:tcPr/>
          <w:p>
            <w:pPr>
              <w:pStyle w:val="Compact"/>
              <w:jc w:val="left"/>
            </w:pPr>
            <w:r>
              <w:t xml:space="preserve">0.0 grade points per course credit</w:t>
            </w:r>
          </w:p>
        </w:tc>
      </w:tr>
      <w:tr>
        <w:tc>
          <w:tcPr/>
          <w:p>
            <w:pPr>
              <w:pStyle w:val="Compact"/>
              <w:jc w:val="left"/>
            </w:pPr>
            <w:r>
              <w:t xml:space="preserve">P</w:t>
            </w:r>
          </w:p>
        </w:tc>
        <w:tc>
          <w:tcPr/>
          <w:p>
            <w:pPr>
              <w:pStyle w:val="Compact"/>
              <w:jc w:val="left"/>
            </w:pPr>
            <w:r>
              <w:t xml:space="preserve">Pass</w:t>
            </w:r>
          </w:p>
        </w:tc>
        <w:tc>
          <w:tcPr/>
          <w:p>
            <w:pPr>
              <w:pStyle w:val="Compact"/>
              <w:jc w:val="left"/>
            </w:pPr>
            <w:r>
              <w:t xml:space="preserve">Credit awarded, no grade points given</w:t>
            </w:r>
          </w:p>
        </w:tc>
      </w:tr>
      <w:tr>
        <w:tc>
          <w:tcPr/>
          <w:p>
            <w:pPr>
              <w:pStyle w:val="Compact"/>
              <w:jc w:val="left"/>
            </w:pPr>
            <w:r>
              <w:t xml:space="preserve">NP</w:t>
            </w:r>
          </w:p>
        </w:tc>
        <w:tc>
          <w:tcPr/>
          <w:p>
            <w:pPr>
              <w:pStyle w:val="Compact"/>
              <w:jc w:val="left"/>
            </w:pPr>
            <w:r>
              <w:t xml:space="preserve">Not Pass</w:t>
            </w:r>
          </w:p>
        </w:tc>
        <w:tc>
          <w:tcPr/>
          <w:p>
            <w:pPr>
              <w:pStyle w:val="Compact"/>
              <w:jc w:val="lef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w:t>
      </w:r>
      <w:r>
        <w:t xml:space="preserve">X</w:t>
      </w:r>
      <w:r>
        <w:t xml:space="preserve">”</w:t>
      </w:r>
      <w:r>
        <w:t xml:space="preserve"> </w:t>
      </w:r>
      <w:r>
        <w:t xml:space="preserve">status grade is given in courses designated in the Catalog as having coursework that extends beyond the end of the term. Under no circumstances can an</w:t>
      </w:r>
      <w:r>
        <w:t xml:space="preserve"> </w:t>
      </w:r>
      <w:r>
        <w:t xml:space="preserve">“</w:t>
      </w:r>
      <w:r>
        <w:t xml:space="preserve">X</w:t>
      </w:r>
      <w:r>
        <w:t xml:space="preserve">”</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w:t>
      </w:r>
      <w:r>
        <w:t xml:space="preserve">I</w:t>
      </w:r>
      <w:r>
        <w:t xml:space="preserve">”</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w:t>
      </w:r>
      <w:r>
        <w:t xml:space="preserve">I</w:t>
      </w:r>
      <w:r>
        <w:t xml:space="preserve">”</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w:t>
      </w:r>
      <w:r>
        <w:t xml:space="preserve">R</w:t>
      </w:r>
      <w:r>
        <w:t xml:space="preserve">”</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w:t>
      </w:r>
      <w:r>
        <w:t xml:space="preserve">EQ.</w:t>
      </w:r>
      <w:r>
        <w:t xml:space="preserve">”</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t>
      </w:r>
      <w:r>
        <w:t xml:space="preserve">W</w:t>
      </w:r>
      <w:r>
        <w:t xml:space="preserve">”</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t>
      </w:r>
      <w:r>
        <w:t xml:space="preserve">W</w:t>
      </w:r>
      <w:r>
        <w:t xml:space="preserve">”</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t>
      </w:r>
      <w:r>
        <w:t xml:space="preserve">W</w:t>
      </w:r>
      <w:r>
        <w:t xml:space="preserve">”</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t>
      </w:r>
      <w:r>
        <w:t xml:space="preserve">WF</w:t>
      </w:r>
      <w:r>
        <w:t xml:space="preserve">”</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l.50</w:t>
            </w:r>
          </w:p>
        </w:tc>
      </w:tr>
      <w:tr>
        <w:tc>
          <w:tcPr/>
          <w:p>
            <w:pPr>
              <w:pStyle w:val="Compact"/>
              <w:jc w:val="left"/>
            </w:pPr>
            <w:r>
              <w:t xml:space="preserve">5.0 – 7.9</w:t>
            </w:r>
          </w:p>
        </w:tc>
        <w:tc>
          <w:tcPr/>
          <w:p>
            <w:pPr>
              <w:pStyle w:val="Compact"/>
              <w:jc w:val="left"/>
            </w:pPr>
            <w:r>
              <w:t xml:space="preserve">l.75</w:t>
            </w:r>
          </w:p>
        </w:tc>
      </w:tr>
      <w:tr>
        <w:tc>
          <w:tcPr/>
          <w:p>
            <w:pPr>
              <w:pStyle w:val="Compact"/>
              <w:jc w:val="left"/>
            </w:pPr>
            <w:r>
              <w:t xml:space="preserve">8.0 – 11.9</w:t>
            </w:r>
          </w:p>
        </w:tc>
        <w:tc>
          <w:tcPr/>
          <w:p>
            <w:pPr>
              <w:pStyle w:val="Compact"/>
              <w:jc w:val="left"/>
            </w:pPr>
            <w:r>
              <w:t xml:space="preserve">1.80</w:t>
            </w:r>
          </w:p>
        </w:tc>
      </w:tr>
      <w:tr>
        <w:tc>
          <w:tcPr/>
          <w:p>
            <w:pPr>
              <w:pStyle w:val="Compact"/>
              <w:jc w:val="left"/>
            </w:pPr>
            <w:r>
              <w:t xml:space="preserve">12.0 – 15.9</w:t>
            </w:r>
          </w:p>
        </w:tc>
        <w:tc>
          <w:tcPr/>
          <w:p>
            <w:pPr>
              <w:pStyle w:val="Compact"/>
              <w:jc w:val="left"/>
            </w:pPr>
            <w:r>
              <w:t xml:space="preserve">1.90</w:t>
            </w:r>
          </w:p>
        </w:tc>
      </w:tr>
      <w:tr>
        <w:tc>
          <w:tcPr/>
          <w:p>
            <w:pPr>
              <w:pStyle w:val="Compact"/>
              <w:jc w:val="left"/>
            </w:pPr>
            <w:r>
              <w:t xml:space="preserve">16.0+</w:t>
            </w:r>
          </w:p>
        </w:tc>
        <w:tc>
          <w:tcPr/>
          <w:p>
            <w:pPr>
              <w:pStyle w:val="Compact"/>
              <w:jc w:val="lef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Total Course Credits Attempted</w:t>
            </w:r>
          </w:p>
        </w:tc>
        <w:tc>
          <w:tcPr/>
          <w:p>
            <w:pPr>
              <w:pStyle w:val="Compact"/>
              <w:jc w:val="left"/>
            </w:pPr>
            <w:r>
              <w:rPr>
                <w:b/>
                <w:bCs/>
              </w:rPr>
              <w:t xml:space="preserve">Minimum GPA Levels</w:t>
            </w:r>
          </w:p>
        </w:tc>
      </w:tr>
      <w:tr>
        <w:tc>
          <w:tcPr/>
          <w:p>
            <w:pPr>
              <w:pStyle w:val="Compact"/>
              <w:jc w:val="left"/>
            </w:pPr>
            <w:r>
              <w:t xml:space="preserve">0.0 – 4.99</w:t>
            </w:r>
          </w:p>
        </w:tc>
        <w:tc>
          <w:tcPr/>
          <w:p>
            <w:pPr>
              <w:pStyle w:val="Compact"/>
              <w:jc w:val="left"/>
            </w:pPr>
            <w:r>
              <w:t xml:space="preserve">0.50</w:t>
            </w:r>
          </w:p>
        </w:tc>
      </w:tr>
      <w:tr>
        <w:tc>
          <w:tcPr/>
          <w:p>
            <w:pPr>
              <w:pStyle w:val="Compact"/>
              <w:jc w:val="left"/>
            </w:pPr>
            <w:r>
              <w:t xml:space="preserve">5.0 – 7.9</w:t>
            </w:r>
          </w:p>
        </w:tc>
        <w:tc>
          <w:tcPr/>
          <w:p>
            <w:pPr>
              <w:pStyle w:val="Compact"/>
              <w:jc w:val="left"/>
            </w:pPr>
            <w:r>
              <w:t xml:space="preserve">l.00</w:t>
            </w:r>
          </w:p>
        </w:tc>
      </w:tr>
      <w:tr>
        <w:tc>
          <w:tcPr/>
          <w:p>
            <w:pPr>
              <w:pStyle w:val="Compact"/>
              <w:jc w:val="left"/>
            </w:pPr>
            <w:r>
              <w:t xml:space="preserve">8.0 – 11.9</w:t>
            </w:r>
          </w:p>
        </w:tc>
        <w:tc>
          <w:tcPr/>
          <w:p>
            <w:pPr>
              <w:pStyle w:val="Compact"/>
              <w:jc w:val="left"/>
            </w:pPr>
            <w:r>
              <w:t xml:space="preserve">1.50</w:t>
            </w:r>
          </w:p>
        </w:tc>
      </w:tr>
      <w:tr>
        <w:tc>
          <w:tcPr/>
          <w:p>
            <w:pPr>
              <w:pStyle w:val="Compact"/>
              <w:jc w:val="left"/>
            </w:pPr>
            <w:r>
              <w:t xml:space="preserve">12.0 – 15.9</w:t>
            </w:r>
          </w:p>
        </w:tc>
        <w:tc>
          <w:tcPr/>
          <w:p>
            <w:pPr>
              <w:pStyle w:val="Compact"/>
              <w:jc w:val="left"/>
            </w:pPr>
            <w:r>
              <w:t xml:space="preserve">1.70</w:t>
            </w:r>
          </w:p>
        </w:tc>
      </w:tr>
      <w:tr>
        <w:tc>
          <w:tcPr/>
          <w:p>
            <w:pPr>
              <w:pStyle w:val="Compact"/>
              <w:jc w:val="left"/>
            </w:pPr>
            <w:r>
              <w:t xml:space="preserve">16.0 – 19.9</w:t>
            </w:r>
          </w:p>
        </w:tc>
        <w:tc>
          <w:tcPr/>
          <w:p>
            <w:pPr>
              <w:pStyle w:val="Compact"/>
              <w:jc w:val="left"/>
            </w:pPr>
            <w:r>
              <w:t xml:space="preserve">1.80</w:t>
            </w:r>
          </w:p>
        </w:tc>
      </w:tr>
      <w:tr>
        <w:tc>
          <w:tcPr/>
          <w:p>
            <w:pPr>
              <w:pStyle w:val="Compact"/>
              <w:jc w:val="left"/>
            </w:pPr>
            <w:r>
              <w:t xml:space="preserve">20.0 – 23.9</w:t>
            </w:r>
          </w:p>
        </w:tc>
        <w:tc>
          <w:tcPr/>
          <w:p>
            <w:pPr>
              <w:pStyle w:val="Compact"/>
              <w:jc w:val="left"/>
            </w:pPr>
            <w:r>
              <w:t xml:space="preserve">1.90</w:t>
            </w:r>
          </w:p>
        </w:tc>
      </w:tr>
      <w:tr>
        <w:tc>
          <w:tcPr/>
          <w:p>
            <w:pPr>
              <w:pStyle w:val="Compact"/>
              <w:jc w:val="left"/>
            </w:pPr>
            <w:r>
              <w:t xml:space="preserve">24 +</w:t>
            </w:r>
          </w:p>
        </w:tc>
        <w:tc>
          <w:tcPr/>
          <w:p>
            <w:pPr>
              <w:pStyle w:val="Compact"/>
              <w:jc w:val="lef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and</w:t>
      </w:r>
      <w:r>
        <w:t xml:space="preserve"> </w:t>
      </w:r>
      <w:r>
        <w:t xml:space="preserve">“</w:t>
      </w:r>
      <w:r>
        <w:t xml:space="preserve">Readmission of Service Member</w:t>
      </w:r>
      <w:r>
        <w:t xml:space="preserve">”</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w:t>
      </w:r>
      <w:r>
        <w:t xml:space="preserve">C</w:t>
      </w:r>
      <w:r>
        <w:t xml:space="preserve">”</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w:t>
      </w:r>
      <w:r>
        <w:t xml:space="preserve">race</w:t>
      </w:r>
      <w:r>
        <w:t xml:space="preserv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w:t>
      </w:r>
      <w:r>
        <w:t xml:space="preserve">sign.</w:t>
      </w:r>
      <w:r>
        <w:t xml:space="preserve">”</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w:t>
      </w:r>
      <w:r>
        <w:t xml:space="preserve">hands on</w:t>
      </w:r>
      <w:r>
        <w:t xml:space="preserve">”</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w:t>
      </w:r>
      <w:r>
        <w:t xml:space="preserve">S</w:t>
      </w:r>
      <w:r>
        <w:t xml:space="preserve">”</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w:t>
      </w:r>
      <w:r>
        <w:t xml:space="preserve">small business</w:t>
      </w:r>
      <w:r>
        <w:t xml:space="preserve">”</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w:t>
      </w:r>
      <w:r>
        <w:t xml:space="preserve">C–</w:t>
      </w:r>
      <w:r>
        <w:t xml:space="preserve">”</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w:t>
      </w:r>
      <w:r>
        <w:t xml:space="preserve">C</w:t>
      </w:r>
      <w:r>
        <w:t xml:space="preserve">”</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w:t>
      </w:r>
      <w:r>
        <w:t xml:space="preserve">specials</w:t>
      </w:r>
      <w:r>
        <w:t xml:space="preserve">”</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w:t>
      </w:r>
      <w:r>
        <w:t xml:space="preserve">C</w:t>
      </w:r>
      <w:r>
        <w:t xml:space="preserve">”</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w:t>
      </w:r>
      <w:r>
        <w:t xml:space="preserve">C</w:t>
      </w:r>
      <w:r>
        <w:t xml:space="preserve">”</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w:t>
      </w:r>
      <w:r>
        <w:t xml:space="preserve">C</w:t>
      </w:r>
      <w:r>
        <w:t xml:space="preserve">”</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w:t>
      </w:r>
      <w:r>
        <w:t xml:space="preserve">C</w:t>
      </w:r>
      <w:r>
        <w:t xml:space="preserve">”</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w:t>
      </w:r>
      <w:r>
        <w:t xml:space="preserve">shall acquire a core of liberal arts knowledge including, but not limited to, English composition, mathematics, natural sciences, social sciences, and humanities.</w:t>
      </w:r>
      <w:r>
        <w:t xml:space="preserve">”</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w:t>
      </w:r>
      <w:r>
        <w:t xml:space="preserve">C</w:t>
      </w:r>
      <w:r>
        <w:t xml:space="preserve">”</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w:t>
      </w:r>
      <w:r>
        <w:t xml:space="preserve">C</w:t>
      </w:r>
      <w:r>
        <w:t xml:space="preserve">”</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w:t>
      </w:r>
      <w:r>
        <w:t xml:space="preserve">C</w:t>
      </w:r>
      <w:r>
        <w:t xml:space="preserve">”</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w:t>
      </w:r>
      <w:r>
        <w:t xml:space="preserve">C</w:t>
      </w:r>
      <w:r>
        <w:t xml:space="preserve">”</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w:t>
      </w:r>
      <w:r>
        <w:t xml:space="preserve">C</w:t>
      </w:r>
      <w:r>
        <w:t xml:space="preserve">”</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w:t>
      </w:r>
      <w:r>
        <w:t xml:space="preserve">C</w:t>
      </w:r>
      <w:r>
        <w:t xml:space="preserve">”</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w:t>
      </w:r>
      <w:r>
        <w:t xml:space="preserve">la francophonie</w:t>
      </w:r>
      <w:r>
        <w:t xml:space="preserv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w:t>
      </w:r>
      <w:r>
        <w:t xml:space="preserve">Discovery</w:t>
      </w:r>
      <w:r>
        <w:t xml:space="preserve">”</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w:t>
      </w:r>
      <w:r>
        <w:t xml:space="preserve">miracles;</w:t>
      </w:r>
      <w:r>
        <w:t xml:space="preserve">”</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w:t>
      </w:r>
      <w:r>
        <w:t xml:space="preserve">Indian wars,</w:t>
      </w:r>
      <w:r>
        <w:t xml:space="preserve">”</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w:t>
      </w:r>
      <w:r>
        <w:rPr>
          <w:b/>
          <w:bCs/>
        </w:rPr>
        <w:t xml:space="preserve">Discovery</w:t>
      </w:r>
      <w:r>
        <w:rPr>
          <w:b/>
          <w:bCs/>
        </w:rPr>
        <w:t xml:space="preserve">”</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w:t>
      </w:r>
      <w:r>
        <w:t xml:space="preserve">Global South,</w:t>
      </w:r>
      <w:r>
        <w:t xml:space="preserve">”</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w:t>
      </w:r>
      <w:r>
        <w:t xml:space="preserve">C</w:t>
      </w:r>
      <w:r>
        <w:t xml:space="preserve">”</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w:t>
      </w:r>
      <w:r>
        <w:t xml:space="preserve">shall acquire a core of liberal arts knowledge including, but not limited to, mathematics, natural sciences, social sciences, and humanities.</w:t>
      </w:r>
      <w:r>
        <w:t xml:space="preserve">”</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r>
        <w:t xml:space="preserve"> </w:t>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r>
        <w:br/>
      </w:r>
      <w:r>
        <w:rPr>
          <w:b/>
          <w:bCs/>
        </w:rPr>
        <w:t xml:space="preserve">PHL 105 Introduction to Philosophy:</w:t>
      </w:r>
      <w:r>
        <w:br/>
      </w:r>
      <w:r>
        <w:t xml:space="preserve">Minds:</w:t>
      </w:r>
      <w:r>
        <w:t xml:space="preserve"> </w:t>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p>
    <w:p>
      <w:pPr>
        <w:pStyle w:val="BodyText"/>
      </w:pPr>
      <w:r>
        <w:t xml:space="preserve">God:</w:t>
      </w:r>
      <w:r>
        <w:t xml:space="preserve"> </w:t>
      </w:r>
      <w:r>
        <w:t xml:space="preserve">Focuses on questions about the nature and existence of God, human nature, personhood, and free will. Is there evidence for the existence of God and is the presence of suffering inthe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p>
    <w:p>
      <w:pPr>
        <w:pStyle w:val="BodyText"/>
      </w:pPr>
      <w:r>
        <w:t xml:space="preserve">Masterworks:</w:t>
      </w:r>
      <w:r>
        <w:t xml:space="preserve"> </w:t>
      </w:r>
      <w:r>
        <w:t xml:space="preserve">Central philosophical debates encountered though the examination of important classical and modern texts from the history of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p>
    <w:p>
      <w:pPr>
        <w:pStyle w:val="BodyText"/>
      </w:pPr>
      <w:r>
        <w:t xml:space="preserve">Science Fiction:</w:t>
      </w:r>
      <w:r>
        <w:t xml:space="preserve"> </w:t>
      </w:r>
      <w:r>
        <w:t xml:space="preserve">Uses science fiction as a springboard for thinking about classic issues and problems in philosophy. Sci-fi classics such as The Matrix, Bladerunner, and Surrogates, raise fundamental philosophical questions such as: What the difference between appearance and reality and how can we distinguish between them? What is it to be a person? Should we think that all and only human beings can be person?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w:t>
      </w:r>
      <w:r>
        <w:t xml:space="preserve">practical politics,</w:t>
      </w:r>
      <w:r>
        <w:t xml:space="preserve">”</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t>
      </w:r>
      <w:r>
        <w:t xml:space="preserve">wave</w:t>
      </w:r>
      <w:r>
        <w:t xml:space="preser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w:t>
      </w:r>
      <w:r>
        <w:t xml:space="preserve">texts</w:t>
      </w:r>
      <w:r>
        <w:t xml:space="preserve">”</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w:t>
      </w:r>
      <w:r>
        <w:t xml:space="preserve">human rights</w:t>
      </w:r>
      <w:r>
        <w:t xml:space="preserve">”</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w:t>
      </w:r>
      <w:r>
        <w:t xml:space="preserve">families</w:t>
      </w:r>
      <w:r>
        <w:t xml:space="preserve">”</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w:t>
      </w:r>
      <w:r>
        <w:t xml:space="preserve">race</w:t>
      </w:r>
      <w:r>
        <w:t xml:space="preserve">’</w:t>
      </w:r>
      <w:r>
        <w:t xml:space="preserve"> </w:t>
      </w:r>
      <w:r>
        <w:t xml:space="preserve">over time; second, we will explore the intersections of</w:t>
      </w:r>
      <w:r>
        <w:t xml:space="preserve"> </w:t>
      </w:r>
      <w:r>
        <w:t xml:space="preserve">‘</w:t>
      </w:r>
      <w:r>
        <w:t xml:space="preserve">race</w:t>
      </w:r>
      <w:r>
        <w:t xml:space="preserve">’</w:t>
      </w:r>
      <w:r>
        <w:t xml:space="preserve"> </w:t>
      </w:r>
      <w:r>
        <w:t xml:space="preserve">with ethnicity, gender, class, and sexuality. Students will examine these via in-depth evaluations of the following topics: the historical emergence of</w:t>
      </w:r>
      <w:r>
        <w:t xml:space="preserve"> </w:t>
      </w:r>
      <w:r>
        <w:t xml:space="preserve">‘</w:t>
      </w:r>
      <w:r>
        <w:t xml:space="preserve">race,</w:t>
      </w:r>
      <w:r>
        <w:t xml:space="preserv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w:t>
      </w:r>
      <w:r>
        <w:t xml:space="preserve">law</w:t>
      </w:r>
      <w:r>
        <w:t xml:space="preserve">”</w:t>
      </w:r>
      <w:r>
        <w:t xml:space="preserve"> </w:t>
      </w:r>
      <w:r>
        <w:t xml:space="preserve">and</w:t>
      </w:r>
      <w:r>
        <w:t xml:space="preserve"> </w:t>
      </w:r>
      <w:r>
        <w:t xml:space="preserve">“</w:t>
      </w:r>
      <w:r>
        <w:t xml:space="preserve">crime</w:t>
      </w:r>
      <w:r>
        <w:t xml:space="preserv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w:t>
      </w:r>
      <w:r>
        <w:t xml:space="preserve">C</w:t>
      </w:r>
      <w:r>
        <w:t xml:space="preserve">”</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w:t>
      </w:r>
      <w:r>
        <w:t xml:space="preserve">philosophy translated into a technique for training performers, building ensemble and creating movement for the stage.</w:t>
      </w:r>
      <w:r>
        <w:t xml:space="preserve">”</w:t>
      </w:r>
      <w:r>
        <w:t xml:space="preserve"> </w:t>
      </w:r>
      <w:r>
        <w:t xml:space="preserve">Students working within a group dynamic learn to access acutely their centers of awareness and intensify their ability to work in the</w:t>
      </w:r>
      <w:r>
        <w:t xml:space="preserve"> </w:t>
      </w:r>
      <w:r>
        <w:t xml:space="preserve">“</w:t>
      </w:r>
      <w:r>
        <w:t xml:space="preserve">here and now.</w:t>
      </w:r>
      <w:r>
        <w:t xml:space="preserve">”</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w:t>
      </w:r>
      <w:r>
        <w:t xml:space="preserve">objectives</w:t>
      </w:r>
      <w:r>
        <w:t xml:space="preserve">”</w:t>
      </w:r>
      <w:r>
        <w:t xml:space="preserve"> </w:t>
      </w:r>
      <w:r>
        <w:t xml:space="preserve">and the</w:t>
      </w:r>
      <w:r>
        <w:t xml:space="preserve"> </w:t>
      </w:r>
      <w:r>
        <w:t xml:space="preserve">“</w:t>
      </w:r>
      <w:r>
        <w:t xml:space="preserve">obstacles</w:t>
      </w:r>
      <w:r>
        <w:t xml:space="preserve">”</w:t>
      </w:r>
      <w:r>
        <w:t xml:space="preserve"> </w:t>
      </w:r>
      <w:r>
        <w:t xml:space="preserve">that stand in the way of attaining them, and to engage themselves (via voice, body, mind, and spirit) in specific</w:t>
      </w:r>
      <w:r>
        <w:t xml:space="preserve"> </w:t>
      </w:r>
      <w:r>
        <w:t xml:space="preserve">“</w:t>
      </w:r>
      <w:r>
        <w:t xml:space="preserve">actions</w:t>
      </w:r>
      <w:r>
        <w:t xml:space="preserve">”</w:t>
      </w:r>
      <w:r>
        <w:t xml:space="preserve"> </w:t>
      </w:r>
      <w:r>
        <w:t xml:space="preserve">undertaken in pursuit of those identified goals. Emphasis is placed on</w:t>
      </w:r>
      <w:r>
        <w:t xml:space="preserve"> </w:t>
      </w:r>
      <w:r>
        <w:t xml:space="preserve">“</w:t>
      </w:r>
      <w:r>
        <w:t xml:space="preserve">interactive</w:t>
      </w:r>
      <w:r>
        <w:t xml:space="preser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w:t>
      </w:r>
      <w:r>
        <w:t xml:space="preserve">theatre company</w:t>
      </w:r>
      <w:r>
        <w:t xml:space="preserve">”</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w:t>
      </w:r>
      <w:r>
        <w:t xml:space="preserve">image</w:t>
      </w:r>
      <w:r>
        <w:t xml:space="preserv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t>
      </w:r>
      <w:r>
        <w:t xml:space="preserve">What now, Lieutenant?</w:t>
      </w:r>
      <w:r>
        <w:t xml:space="preserve">”</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w:t>
      </w:r>
      <w:r>
        <w:t xml:space="preserve">O</w:t>
      </w:r>
      <w:r>
        <w:t xml:space="preserve">’</w:t>
      </w:r>
      <w:r>
        <w:t xml:space="preserve"> </w:t>
      </w:r>
      <w:r>
        <w:t xml:space="preserve">levels,</w:t>
      </w:r>
      <w:r>
        <w:t xml:space="preserve"> </w:t>
      </w:r>
      <w:r>
        <w:t xml:space="preserve">‘</w:t>
      </w:r>
      <w:r>
        <w:t xml:space="preserve">A</w:t>
      </w:r>
      <w:r>
        <w:t xml:space="preserve">’</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w:t>
      </w:r>
      <w:r>
        <w:t xml:space="preserve">Military Call Up/Refund</w:t>
      </w:r>
      <w:r>
        <w:t xml:space="preserve">”</w:t>
      </w:r>
      <w:r>
        <w:t xml:space="preserve"> </w:t>
      </w:r>
      <w:r>
        <w:t xml:space="preserve">and</w:t>
      </w:r>
      <w:r>
        <w:t xml:space="preserve"> </w:t>
      </w:r>
      <w:r>
        <w:t xml:space="preserve">“</w:t>
      </w:r>
      <w:r>
        <w:t xml:space="preserve">Readmission of Service Member</w:t>
      </w:r>
      <w:r>
        <w:t xml:space="preserve">”</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w:t>
      </w:r>
      <w:r>
        <w:t xml:space="preserve">unofficially withdrawn</w:t>
      </w:r>
      <w:r>
        <w:t xml:space="preserve">”</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w:t>
      </w:r>
      <w:r>
        <w:t xml:space="preserve">earned</w:t>
      </w:r>
      <w:r>
        <w:t xml:space="preserve">”</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3"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International Scholarships</w:t>
      </w:r>
      <w:r>
        <w:t xml:space="preserve"> </w:t>
      </w:r>
      <w:r>
        <w:t xml:space="preserve">International students may qualify for academic or visual and performing arts scholarships.</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majors and non-majors. Additional scholarship opportunities for those majoring in music include the Marshall Full-Tuition scholarship, the Basler Vocal Music Scholarship, and the Schauwecker Scholarship.</w:t>
      </w:r>
    </w:p>
    <w:p>
      <w:pPr>
        <w:pStyle w:val="Compact"/>
        <w:numPr>
          <w:ilvl w:val="0"/>
          <w:numId w:val="1360"/>
        </w:numPr>
      </w:pPr>
      <w:r>
        <w:rPr>
          <w:b/>
          <w:bCs/>
        </w:rPr>
        <w:t xml:space="preserve">National Merit Finalists</w:t>
      </w:r>
      <w:r>
        <w:t xml:space="preserve"> </w:t>
      </w:r>
      <w:r>
        <w:t xml:space="preserve">Full-tuition scholarships are awarded for National Merit Finalists if Coe is listed as first choice of schools with the National Merit Scholarship Corporation on May 1 of the student’s senior year. National Merit awards are equal to the full-time tuition of the recipient’s entry year and renew yearly at the same rate.</w:t>
      </w:r>
    </w:p>
    <w:p>
      <w:pPr>
        <w:pStyle w:val="Compact"/>
        <w:numPr>
          <w:ilvl w:val="0"/>
          <w:numId w:val="1360"/>
        </w:numPr>
      </w:pPr>
      <w:r>
        <w:rPr>
          <w:b/>
          <w:bCs/>
        </w:rPr>
        <w:t xml:space="preserve">International Full-Tuition Scholarship</w:t>
      </w:r>
      <w:r>
        <w:t xml:space="preserve"> </w:t>
      </w:r>
      <w:r>
        <w:t xml:space="preserve">The International Full-Tuition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Distinguished Trustee Scholarship</w:t>
      </w:r>
      <w:r>
        <w:t xml:space="preserve"> </w:t>
      </w:r>
      <w:r>
        <w:t xml:space="preserve">This scholarship is awarded to high academic students with the potential to positively impact our campus.</w:t>
      </w:r>
    </w:p>
    <w:p>
      <w:pPr>
        <w:pStyle w:val="Compact"/>
        <w:numPr>
          <w:ilvl w:val="0"/>
          <w:numId w:val="1361"/>
        </w:numPr>
      </w:pPr>
      <w:r>
        <w:rPr>
          <w:b/>
          <w:bCs/>
        </w:rPr>
        <w:t xml:space="preserve">The Diversity Leadership Scholarship</w:t>
      </w:r>
      <w:r>
        <w:t xml:space="preserve"> </w:t>
      </w:r>
      <w:r>
        <w:t xml:space="preserve">Coe believes educational experience is strengthened by the inclusion of strong voices from diverse backgrounds. This scholarship is awarded to students from historically underrepresented populations.</w:t>
      </w:r>
    </w:p>
    <w:p>
      <w:pPr>
        <w:pStyle w:val="Compact"/>
        <w:numPr>
          <w:ilvl w:val="0"/>
          <w:numId w:val="1361"/>
        </w:numPr>
      </w:pPr>
      <w:r>
        <w:rPr>
          <w:b/>
          <w:bCs/>
        </w:rPr>
        <w:t xml:space="preserve">The Marshall Music Scholarship</w:t>
      </w:r>
      <w:r>
        <w:t xml:space="preserve"> </w:t>
      </w:r>
      <w:r>
        <w:t xml:space="preserve">Open to prospective students who have the motivation and background necessary to pursue the Bachelor of Music degree.</w:t>
      </w:r>
    </w:p>
    <w:p>
      <w:pPr>
        <w:pStyle w:val="Compact"/>
        <w:numPr>
          <w:ilvl w:val="0"/>
          <w:numId w:val="1361"/>
        </w:numPr>
      </w:pPr>
      <w:r>
        <w:rPr>
          <w:b/>
          <w:bCs/>
        </w:rPr>
        <w:t xml:space="preserve">The Sustainability Scholarship</w:t>
      </w:r>
      <w:r>
        <w:t xml:space="preserve"> </w:t>
      </w:r>
      <w:r>
        <w:t xml:space="preserve">This scholarship is awarded to students who show passion and concern for our environment.</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numPr>
          <w:ilvl w:val="0"/>
          <w:numId w:val="1363"/>
        </w:numPr>
      </w:pPr>
      <w:r>
        <w:rPr>
          <w:b/>
          <w:bCs/>
        </w:rPr>
        <w:t xml:space="preserve">Coe Grant</w:t>
      </w:r>
      <w:r>
        <w:t xml:space="preserve"> </w:t>
      </w:r>
      <w:r>
        <w:t xml:space="preserve">The value of a Coe Grant is influenced by a student’s financial need. The amount of the Coe Grant can vary from year to year, depending on changes in family income, room and board charges, and the availability of funding.</w:t>
      </w:r>
      <w:r>
        <w:t xml:space="preserve"> </w:t>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w:t>
      </w:r>
      <w:r>
        <w:t xml:space="preserve">Endowed Scholarship Application.</w:t>
      </w:r>
      <w:r>
        <w:t xml:space="preserve">’</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p>
    <w:p>
      <w:pPr>
        <w:numPr>
          <w:ilvl w:val="0"/>
          <w:numId w:val="1363"/>
        </w:numPr>
      </w:pPr>
      <w:r>
        <w:rPr>
          <w:b/>
          <w:bCs/>
        </w:rPr>
        <w:t xml:space="preserve">Federal Pell Grant</w:t>
      </w:r>
      <w:r>
        <w:t xml:space="preserve"> </w:t>
      </w:r>
      <w:r>
        <w:t xml:space="preserve">The Federal Pell Grant 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 At press time, the current 2022–2023 Federal Pell grants awards range from $750 up to $6,845. However, final Pell Grant amounts are subject to the federal budget process and could very well be reduced. These grants are generally available to families with modest incomes.</w:t>
      </w:r>
    </w:p>
    <w:p>
      <w:pPr>
        <w:numPr>
          <w:ilvl w:val="0"/>
          <w:numId w:val="1363"/>
        </w:numPr>
      </w:pPr>
      <w:r>
        <w:rPr>
          <w:b/>
          <w:bCs/>
        </w:rPr>
        <w:t xml:space="preserve">Federal Supplemental Educational Opportunity Grant (SEOG)</w:t>
      </w:r>
      <w:r>
        <w:t xml:space="preserve"> </w:t>
      </w:r>
      <w:r>
        <w:t xml:space="preserve">The Federal Supplemental Educational Opportunity Grant (SEOG) 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numPr>
          <w:ilvl w:val="0"/>
          <w:numId w:val="1363"/>
        </w:numPr>
      </w:pPr>
      <w:r>
        <w:rPr>
          <w:b/>
          <w:bCs/>
        </w:rPr>
        <w:t xml:space="preserve">Iowa Tuition Grant (ITG)</w:t>
      </w:r>
      <w:r>
        <w:t xml:space="preserve"> </w:t>
      </w:r>
      <w:r>
        <w:t xml:space="preserve">The Iowa Tuition Grant (ITG) is available to qualified, undergraduate Iowa residents who are enrolled at least one quarter time (one course credit) at a private college in Iowa. A student may receive the ITG for no more than eight full-time terms. The ITG is based on financial need and a FAFSA filing deadline of July 1</w:t>
      </w:r>
      <w:r>
        <w:t xml:space="preserve"> </w:t>
      </w:r>
      <w:r>
        <w:rPr>
          <w:vertAlign w:val="superscript"/>
        </w:rPr>
        <w:t xml:space="preserve">st</w:t>
      </w:r>
      <w:r>
        <w:t xml:space="preserve">.Application to receive the ITG at Coe can be made by listing Coe College on the FAFSA. For the 2021-22 academic year, students whose Expected Family Contribution (EFC) is no greater than $15,000 may qualify for a maximum full-time award of $6,800.</w:t>
      </w:r>
    </w:p>
    <w:p>
      <w:pPr>
        <w:numPr>
          <w:ilvl w:val="0"/>
          <w:numId w:val="1363"/>
        </w:numPr>
      </w:pPr>
      <w:r>
        <w:rPr>
          <w:b/>
          <w:bCs/>
        </w:rPr>
        <w:t xml:space="preserve">National Presbyterian Scholarships</w:t>
      </w:r>
      <w:r>
        <w:t xml:space="preserve"> </w:t>
      </w: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4" w:name="non-need-based-gift-aid"/>
    <w:p>
      <w:pPr>
        <w:pStyle w:val="Heading3"/>
      </w:pPr>
      <w:r>
        <w:t xml:space="preserve">29.0.5 Non-Need Based Gift Aid</w:t>
      </w:r>
    </w:p>
    <w:p>
      <w:pPr>
        <w:numPr>
          <w:ilvl w:val="0"/>
          <w:numId w:val="1364"/>
        </w:numPr>
      </w:pPr>
      <w:r>
        <w:rPr>
          <w:b/>
          <w:bCs/>
        </w:rPr>
        <w:t xml:space="preserve">The Education Assistance for College and Higher Education (TEACH)</w:t>
      </w:r>
      <w:r>
        <w:t xml:space="preserve"> </w:t>
      </w:r>
      <w:r>
        <w:t xml:space="preserve">The Education Assistance for College and Higher Education (TEACH) 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4"/>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4"/>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 The maximum award amount for the 2021–22 academic year was $9,660.</w:t>
      </w:r>
    </w:p>
    <w:p>
      <w:pPr>
        <w:numPr>
          <w:ilvl w:val="0"/>
          <w:numId w:val="1364"/>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4"/>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w:t>
      </w:r>
      <w:r>
        <w:t xml:space="preserve"> </w:t>
      </w:r>
      <w:hyperlink r:id="rId493">
        <w:r>
          <w:rPr>
            <w:rStyle w:val="Hyperlink"/>
          </w:rPr>
          <w:t xml:space="preserve">Coe College’s Resources for Veterans and Military Students.</w:t>
        </w:r>
      </w:hyperlink>
    </w:p>
    <w:p>
      <w:pPr>
        <w:numPr>
          <w:ilvl w:val="0"/>
          <w:numId w:val="1364"/>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4"/>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4"/>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4"/>
    <w:bookmarkStart w:id="495" w:name="tution-discount"/>
    <w:p>
      <w:pPr>
        <w:pStyle w:val="Heading3"/>
      </w:pPr>
      <w:r>
        <w:t xml:space="preserve">29.0.6 Tution Discount</w:t>
      </w:r>
    </w:p>
    <w:p>
      <w:pPr>
        <w:numPr>
          <w:ilvl w:val="0"/>
          <w:numId w:val="1365"/>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5"/>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5"/>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5"/>
    <w:bookmarkStart w:id="497"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6"/>
        </w:numPr>
      </w:pPr>
      <w:r>
        <w:rPr>
          <w:b/>
          <w:bCs/>
        </w:rPr>
        <w:t xml:space="preserve">Work-Study Awards</w:t>
      </w:r>
      <w:r>
        <w:t xml:space="preserve"> </w:t>
      </w:r>
      <w:r>
        <w:t xml:space="preserve">provide part-time employment on campus, at area non-profit agencies and in local schools.</w:t>
      </w:r>
    </w:p>
    <w:p>
      <w:pPr>
        <w:numPr>
          <w:ilvl w:val="0"/>
          <w:numId w:val="1366"/>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6"/>
        </w:numPr>
      </w:pPr>
      <w:r>
        <w:rPr>
          <w:b/>
          <w:bCs/>
        </w:rPr>
        <w:t xml:space="preserve">Loan Types</w:t>
      </w:r>
    </w:p>
    <w:p>
      <w:pPr>
        <w:numPr>
          <w:ilvl w:val="0"/>
          <w:numId w:val="1000"/>
        </w:numPr>
      </w:pPr>
      <w:r>
        <w:t xml:space="preserve">There are two types of Federal Direct Stafford loans: subsidized and unsubsidized. The interest rate for loans processed during the 2021–22 academic year is fixed at 3.73 percent. A 1.057% origination fee is subtracted from the loan funds. Please note, interest rates, subsidies, and origination fees may change. Updated information will be published as it becomes available.</w:t>
      </w:r>
    </w:p>
    <w:p>
      <w:pPr>
        <w:numPr>
          <w:ilvl w:val="0"/>
          <w:numId w:val="1000"/>
        </w:numPr>
      </w:pP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6">
        <w:r>
          <w:rPr>
            <w:rStyle w:val="Hyperlink"/>
          </w:rPr>
          <w:t xml:space="preserve">Federal Student Aid</w:t>
        </w:r>
      </w:hyperlink>
    </w:p>
    <w:p>
      <w:pPr>
        <w:numPr>
          <w:ilvl w:val="0"/>
          <w:numId w:val="1366"/>
        </w:numPr>
      </w:pPr>
      <w:r>
        <w:rPr>
          <w:b/>
          <w:bCs/>
        </w:rPr>
        <w:t xml:space="preserve">Federal Direct Parent Loan for Undergraduate Student’s (PLUS)</w:t>
      </w:r>
      <w:r>
        <w:t xml:space="preserve"> </w:t>
      </w:r>
      <w:r>
        <w:t xml:space="preserve">Parents who can demonstrate good credit may borrow the difference between the student’s costs of attendance less financial assistance. Both custodial and non-custodial parents can borrow through the PLUS loan program in order to meet their obligation to the student’s costs at Coe. The interest rate for loans processed during the 2021–22 academic year is fixed at 6.28 %. A 4.228% origination fee is subtracted from the loan funds. Repayment begins 60 days after the loan is fully disbursed unless the borrower requests to defer payment while the student is enrolled.</w:t>
      </w:r>
    </w:p>
    <w:p>
      <w:pPr>
        <w:numPr>
          <w:ilvl w:val="0"/>
          <w:numId w:val="1366"/>
        </w:numPr>
      </w:pPr>
      <w:r>
        <w:rPr>
          <w:b/>
          <w:bCs/>
        </w:rPr>
        <w:t xml:space="preserve">Federal Direct PLUS Loan Program for Graduate Students</w:t>
      </w:r>
      <w:r>
        <w:br/>
      </w:r>
      <w:r>
        <w:t xml:space="preserve">Federal Direct PLUS Loan Program for Graduate Students must be repaid by the student. The terms and conditions applicable to the Parent PLUS Loan (made to parents of dependent students) also apply to PLUS Loans made to graduate students.</w:t>
      </w:r>
    </w:p>
    <w:bookmarkEnd w:id="497"/>
    <w:bookmarkStart w:id="501" w:name="X672b53526713bc7ff09f883aec1f42eac033174"/>
    <w:p>
      <w:pPr>
        <w:pStyle w:val="Heading3"/>
      </w:pPr>
      <w:r>
        <w:t xml:space="preserve">29.0.8 General Policies</w:t>
      </w:r>
    </w:p>
    <w:p>
      <w:pPr>
        <w:pStyle w:val="FirstParagraph"/>
      </w:pPr>
      <w:r>
        <w:rPr>
          <w:b/>
          <w:bCs/>
        </w:rPr>
        <w:t xml:space="preserve">Financial Aid Satisfactory Academic Progress Policy — Academic Year 22–23</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8"/>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7"/>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8"/>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500"/>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9"/>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1"/>
    <w:bookmarkStart w:id="502" w:name="Xf6e50692ca76e8a36923d8e845477b7c0de0604"/>
    <w:p>
      <w:pPr>
        <w:pStyle w:val="Heading3"/>
      </w:pPr>
      <w:r>
        <w:t xml:space="preserve">29.0.9 Impact on SAP of certain types of status marks and credits</w:t>
      </w:r>
    </w:p>
    <w:p>
      <w:pPr>
        <w:numPr>
          <w:ilvl w:val="0"/>
          <w:numId w:val="1370"/>
        </w:numPr>
      </w:pPr>
      <w:r>
        <w:rPr>
          <w:b/>
          <w:bCs/>
        </w:rPr>
        <w:t xml:space="preserve">Audited Courses</w:t>
      </w:r>
      <w:r>
        <w:t xml:space="preserve"> </w:t>
      </w:r>
      <w:r>
        <w:t xml:space="preserve">Audited courses do not count towards degree requirements and do not impact SAP.</w:t>
      </w:r>
    </w:p>
    <w:p>
      <w:pPr>
        <w:numPr>
          <w:ilvl w:val="0"/>
          <w:numId w:val="1370"/>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70"/>
        </w:numPr>
      </w:pPr>
      <w:r>
        <w:rPr>
          <w:b/>
          <w:bCs/>
        </w:rPr>
        <w:t xml:space="preserve">Pass (P) – Not Pass (NP) Graded Courses</w:t>
      </w:r>
      <w:r>
        <w:t xml:space="preserve"> </w:t>
      </w:r>
      <w:r>
        <w:t xml:space="preserve">Grades of</w:t>
      </w:r>
      <w:r>
        <w:t xml:space="preserve"> </w:t>
      </w:r>
      <w:r>
        <w:t xml:space="preserve">“</w:t>
      </w:r>
      <w:r>
        <w:t xml:space="preserve">P</w:t>
      </w:r>
      <w:r>
        <w:t xml:space="preserve">”</w:t>
      </w:r>
      <w:r>
        <w:t xml:space="preserve"> </w:t>
      </w:r>
      <w:r>
        <w:t xml:space="preserve">count as attempted credits and credits earned. Grades of</w:t>
      </w:r>
      <w:r>
        <w:t xml:space="preserve"> </w:t>
      </w:r>
      <w:r>
        <w:t xml:space="preserve">“</w:t>
      </w:r>
      <w:r>
        <w:t xml:space="preserve">NP</w:t>
      </w:r>
      <w:r>
        <w:t xml:space="preserve">”</w:t>
      </w:r>
      <w:r>
        <w:t xml:space="preserve"> </w:t>
      </w:r>
      <w:r>
        <w:t xml:space="preserve">count as attempted credits, but not credits earned. Grades of</w:t>
      </w:r>
      <w:r>
        <w:t xml:space="preserve"> </w:t>
      </w:r>
      <w:r>
        <w:t xml:space="preserve">“</w:t>
      </w:r>
      <w:r>
        <w:t xml:space="preserve">P</w:t>
      </w:r>
      <w:r>
        <w:t xml:space="preserve">”</w:t>
      </w:r>
      <w:r>
        <w:t xml:space="preserve"> </w:t>
      </w:r>
      <w:r>
        <w:t xml:space="preserve">and</w:t>
      </w:r>
      <w:r>
        <w:t xml:space="preserve"> </w:t>
      </w:r>
      <w:r>
        <w:t xml:space="preserve">“</w:t>
      </w:r>
      <w:r>
        <w:t xml:space="preserve">NP</w:t>
      </w:r>
      <w:r>
        <w:t xml:space="preserve">”</w:t>
      </w:r>
      <w:r>
        <w:t xml:space="preserve"> </w:t>
      </w:r>
      <w:r>
        <w:t xml:space="preserve">do not impact GPA.</w:t>
      </w:r>
    </w:p>
    <w:p>
      <w:pPr>
        <w:numPr>
          <w:ilvl w:val="0"/>
          <w:numId w:val="1370"/>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70"/>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70"/>
        </w:numPr>
      </w:pPr>
      <w:r>
        <w:rPr>
          <w:b/>
          <w:bCs/>
        </w:rPr>
        <w:t xml:space="preserve">Status Marks of W and WF</w:t>
      </w:r>
      <w:r>
        <w:t xml:space="preserve"> </w:t>
      </w:r>
      <w:r>
        <w:t xml:space="preserve">Courses for which a grade of</w:t>
      </w:r>
      <w:r>
        <w:t xml:space="preserve"> </w:t>
      </w:r>
      <w:r>
        <w:t xml:space="preserve">“</w:t>
      </w:r>
      <w:r>
        <w:t xml:space="preserve">W</w:t>
      </w:r>
      <w:r>
        <w:t xml:space="preserve">”</w:t>
      </w:r>
      <w:r>
        <w:t xml:space="preserve"> </w:t>
      </w:r>
      <w:r>
        <w:t xml:space="preserve">is recorded count as attempted credits. Courses for which a grade of</w:t>
      </w:r>
      <w:r>
        <w:t xml:space="preserve"> </w:t>
      </w:r>
      <w:r>
        <w:t xml:space="preserve">“</w:t>
      </w:r>
      <w:r>
        <w:t xml:space="preserve">WF</w:t>
      </w:r>
      <w:r>
        <w:t xml:space="preserve">”</w:t>
      </w:r>
      <w:r>
        <w:t xml:space="preserve"> </w:t>
      </w:r>
      <w:r>
        <w:t xml:space="preserve">is recorded count as attempted credits and impact GPA.</w:t>
      </w:r>
    </w:p>
    <w:p>
      <w:pPr>
        <w:numPr>
          <w:ilvl w:val="0"/>
          <w:numId w:val="1370"/>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70"/>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70"/>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1"/>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1"/>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1"/>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1"/>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2"/>
    <w:bookmarkEnd w:id="503"/>
    <w:bookmarkStart w:id="509" w:name="directories"/>
    <w:p>
      <w:pPr>
        <w:pStyle w:val="Heading1"/>
      </w:pPr>
      <w:r>
        <w:t xml:space="preserve">30. DIRECTORIES</w:t>
      </w:r>
    </w:p>
    <w:bookmarkStart w:id="508" w:name="the-faculty"/>
    <w:p>
      <w:pPr>
        <w:pStyle w:val="Heading2"/>
      </w:pPr>
      <w:r>
        <w:t xml:space="preserve">30.1 The Faculty</w:t>
      </w:r>
    </w:p>
    <w:bookmarkStart w:id="504"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Associate 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HEIDE BURSCH</w:t>
      </w:r>
      <w:r>
        <w:br/>
      </w:r>
      <w:r>
        <w:t xml:space="preserve">Associate Professor of Nursing.</w:t>
      </w:r>
      <w:r>
        <w:br/>
      </w:r>
      <w:r>
        <w:t xml:space="preserve">B.S.N., M.S.N., Ph.D., University of Iowa.</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B.S., PhD. Iowa State University.</w:t>
      </w:r>
    </w:p>
    <w:p>
      <w:pPr>
        <w:pStyle w:val="BodyText"/>
      </w:pPr>
      <w:r>
        <w:t xml:space="preserve">JOHN BRADLEY CHAIMOV</w:t>
      </w:r>
      <w:r>
        <w:br/>
      </w:r>
      <w:r>
        <w:t xml:space="preserve">Associate Professor,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Assistant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HANNAH DEHNER</w:t>
      </w:r>
      <w:r>
        <w:br/>
      </w:r>
      <w:r>
        <w:t xml:space="preserve">Assistant Professor of Nursing.</w:t>
      </w:r>
      <w:r>
        <w:br/>
      </w:r>
      <w:r>
        <w:t xml:space="preserve">BSN, MSN, University of Iowa.</w:t>
      </w:r>
    </w:p>
    <w:p>
      <w:pPr>
        <w:pStyle w:val="BodyText"/>
      </w:pPr>
      <w:r>
        <w:t xml:space="preserve">THERESA A. DONOFRIO</w:t>
      </w:r>
      <w:r>
        <w:br/>
      </w:r>
      <w:r>
        <w:t xml:space="preserve">Associate Professor of Communication Studies.</w:t>
      </w:r>
      <w:r>
        <w:br/>
      </w:r>
      <w:r>
        <w:t xml:space="preserve">B.A., Miami University; M.A., Ph.D., University of Maryland.</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LUCILLE GOODSON</w:t>
      </w:r>
      <w:r>
        <w:br/>
      </w:r>
      <w:r>
        <w:t xml:space="preserve">Associate Professor of Art.</w:t>
      </w:r>
      <w:r>
        <w:br/>
      </w:r>
      <w:r>
        <w:t xml:space="preserve">B.A., Black Hills State College; M.F.A., Indiana University.</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Law School.</w:t>
      </w:r>
    </w:p>
    <w:p>
      <w:pPr>
        <w:pStyle w:val="BodyText"/>
      </w:pPr>
      <w:r>
        <w:t xml:space="preserve">NANCY HAYES</w:t>
      </w:r>
      <w:r>
        <w:br/>
      </w:r>
      <w:r>
        <w:t xml:space="preserve">Associate Professor of Education.</w:t>
      </w:r>
      <w:r>
        <w:br/>
      </w:r>
      <w:r>
        <w:t xml:space="preserve">B.A., University of Illinois, Urbana-Champaign; M.A., Pennsylvania State University; Ph.D., University of Iowa.</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JANCA-AJI</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Assistant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Assistant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LEMAY-LEWIS</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 Director of Athletic Training Education.</w:t>
      </w:r>
      <w:r>
        <w:br/>
      </w:r>
      <w:r>
        <w:t xml:space="preserve">B.S., Morningside College; M.S., Louisiana State University.</w:t>
      </w:r>
    </w:p>
    <w:p>
      <w:pPr>
        <w:pStyle w:val="BodyText"/>
      </w:pPr>
      <w:r>
        <w:t xml:space="preserve">LUKE LOVEGOOD</w:t>
      </w:r>
      <w:r>
        <w:br/>
      </w:r>
      <w:r>
        <w:t xml:space="preserve">Assistant Professor of Music - Choral Music Education</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LaTANYA McQUEEN</w:t>
      </w:r>
      <w:r>
        <w:br/>
      </w:r>
      <w:r>
        <w:t xml:space="preserve">Assistant Professor of English and Creative Writing.</w:t>
      </w:r>
      <w:r>
        <w:br/>
      </w:r>
      <w:r>
        <w:t xml:space="preserve">B.F.A; M.F.A., Emerson College; Ph.D., University of Missouri.</w:t>
      </w:r>
    </w:p>
    <w:p>
      <w:pPr>
        <w:pStyle w:val="BodyText"/>
      </w:pPr>
      <w:r>
        <w:t xml:space="preserve">CARRIE MELCHER</w:t>
      </w:r>
      <w:r>
        <w:br/>
      </w:r>
      <w:r>
        <w:t xml:space="preserve">Associate Professor of Stead Department of Business Administration and Economics.</w:t>
      </w:r>
      <w:r>
        <w:br/>
      </w:r>
      <w:r>
        <w:t xml:space="preserve">B.S.,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BRETT MOMMER</w:t>
      </w:r>
      <w:r>
        <w:br/>
      </w:r>
      <w:r>
        <w:t xml:space="preserve">Visiting Assistant Professor of Biology</w:t>
      </w:r>
      <w:r>
        <w:br/>
      </w:r>
      <w:r>
        <w:t xml:space="preserve">B.S., Iowa State University; M.S., Ph.D. University of Illinois, Champaign.</w:t>
      </w:r>
    </w:p>
    <w:p>
      <w:pPr>
        <w:pStyle w:val="BodyText"/>
      </w:pPr>
      <w:r>
        <w:t xml:space="preserve">LAISSA RODRIGUEZ MORENO</w:t>
      </w:r>
      <w:r>
        <w:br/>
      </w:r>
      <w:r>
        <w:t xml:space="preserve">Assistant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 and Director of Washington Term.</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Associate 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Durham University, St. Aidan’s College;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Interim 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MARTIN ALAN ST. CLAIR</w:t>
      </w:r>
      <w:r>
        <w:br/>
      </w:r>
      <w:r>
        <w:t xml:space="preserve">Professor of Chemistry.</w:t>
      </w:r>
      <w:r>
        <w:br/>
      </w:r>
      <w:r>
        <w:t xml:space="preserve">B.S., Butler University; Ph.D., California Institute of Technology.</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Associate 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PETER JOHN THOMPSON</w:t>
      </w:r>
      <w:r>
        <w:br/>
      </w:r>
      <w:r>
        <w:t xml:space="preserve">Professor of Art.</w:t>
      </w:r>
      <w:r>
        <w:br/>
      </w:r>
      <w:r>
        <w:t xml:space="preserve">B.A., M.A., M.F.A., University of Iowa.</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PATRICIA VALDERRAMA</w:t>
      </w:r>
      <w:r>
        <w:br/>
      </w:r>
      <w:r>
        <w:t xml:space="preserve">Assistant Professor of English.</w:t>
      </w:r>
      <w:r>
        <w:br/>
      </w:r>
      <w:r>
        <w:t xml:space="preserve">B.A., Princeton University; Ph.D., Stanford University.</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Interim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Interim Provost and Dean of the Faculty; Associate Professor of History.</w:t>
      </w:r>
      <w:r>
        <w:br/>
      </w:r>
      <w:r>
        <w:t xml:space="preserve">B.A., University of Cincinnati; M.A., Ph.D., Bryn Mawr College.</w:t>
      </w:r>
    </w:p>
    <w:bookmarkEnd w:id="504"/>
    <w:bookmarkStart w:id="505"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w:t>
      </w:r>
      <w:r>
        <w:br/>
      </w:r>
      <w:r>
        <w:t xml:space="preserve">President, Emeritus (1982-2001)</w:t>
      </w:r>
    </w:p>
    <w:p>
      <w:pPr>
        <w:pStyle w:val="BodyText"/>
      </w:pPr>
      <w:r>
        <w:t xml:space="preserve">EDMUND BURKE, Ph.D.</w:t>
      </w:r>
      <w:r>
        <w:br/>
      </w:r>
      <w:r>
        <w:t xml:space="preserve">Professor of Humanities, Emeritus (1974–2012).</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ROBERT DANIEL DREXLER, Ph.D.</w:t>
      </w:r>
      <w:r>
        <w:br/>
      </w:r>
      <w:r>
        <w:t xml:space="preserve">William P. and Gayle S. Whipple Professor of English, Emeritus (1974–2016).</w:t>
      </w:r>
    </w:p>
    <w:p>
      <w:pPr>
        <w:pStyle w:val="BodyText"/>
      </w:pPr>
      <w:r>
        <w:t xml:space="preserve">RICHARD D. DOYLE, M.A.</w:t>
      </w:r>
      <w:r>
        <w:br/>
      </w:r>
      <w:r>
        <w:t xml:space="preserve">Professor, Emeritus; Director of Library Services and Director of Technology (1972–2010).</w:t>
      </w:r>
    </w:p>
    <w:p>
      <w:pPr>
        <w:pStyle w:val="BodyText"/>
      </w:pPr>
      <w:r>
        <w:t xml:space="preserve">MARIA A. DEAN</w:t>
      </w:r>
      <w:r>
        <w:br/>
      </w:r>
      <w:r>
        <w:t xml:space="preserve">Professor of Chemistry, Emeritus (1984–2020).</w:t>
      </w:r>
    </w:p>
    <w:p>
      <w:pPr>
        <w:pStyle w:val="BodyText"/>
      </w:pPr>
      <w:r>
        <w:t xml:space="preserve">WENDY DUNN</w:t>
      </w:r>
      <w:r>
        <w:br/>
      </w:r>
      <w:r>
        <w:t xml:space="preserve">Professor of Psychology , Emeritus (1980–2020).</w:t>
      </w:r>
    </w:p>
    <w:p>
      <w:pPr>
        <w:pStyle w:val="BodyText"/>
      </w:pPr>
      <w:r>
        <w:t xml:space="preserve">ALLEN P. FISHER, Ph.D.</w:t>
      </w:r>
      <w:r>
        <w:br/>
      </w:r>
      <w:r>
        <w:t xml:space="preserve">Stead Family Professor of Sociology, Emeritus (1978–2011).</w:t>
      </w:r>
    </w:p>
    <w:p>
      <w:pPr>
        <w:pStyle w:val="BodyText"/>
      </w:pPr>
      <w:r>
        <w:t xml:space="preserve">HARLO HADOW, Ph.D.</w:t>
      </w:r>
      <w:r>
        <w:br/>
      </w:r>
      <w:r>
        <w:t xml:space="preserve">Heins-Johnson Professor of Biology and Director of the Coe Wilderness Field Station, Emeritus (1977–2019).</w:t>
      </w:r>
    </w:p>
    <w:p>
      <w:pPr>
        <w:pStyle w:val="BodyText"/>
      </w:pPr>
      <w:r>
        <w:t xml:space="preserve">JEANNINE HAMMOND, Ph.D.</w:t>
      </w:r>
      <w:r>
        <w:br/>
      </w:r>
      <w:r>
        <w:t xml:space="preserve">Joanne M. Pochobradsky Professor of French, Emerita (1973–2006).</w:t>
      </w:r>
    </w:p>
    <w:p>
      <w:pPr>
        <w:pStyle w:val="BodyText"/>
      </w:pPr>
      <w:r>
        <w:t xml:space="preserve">DWIGHT W. HANSEN, M.A.</w:t>
      </w:r>
      <w:r>
        <w:br/>
      </w:r>
      <w:r>
        <w:t xml:space="preserve">Associate Professor of Stead Department of Business Administration and Economics, Emeritus (1978–2016).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PETER N. McCORMICK, Ph.D.</w:t>
      </w:r>
      <w:r>
        <w:br/>
      </w:r>
      <w:r>
        <w:t xml:space="preserve">Professor of Philosophy, Emeritus (1974–2018)</w:t>
      </w:r>
    </w:p>
    <w:p>
      <w:pPr>
        <w:pStyle w:val="BodyText"/>
      </w:pPr>
      <w:r>
        <w:t xml:space="preserve">MICHAEL McDONALD, M.A.</w:t>
      </w:r>
      <w:r>
        <w:br/>
      </w:r>
      <w:r>
        <w:t xml:space="preserve">Professor of Business Administration and Economics, Emeritus (1981–2005).</w:t>
      </w:r>
    </w:p>
    <w:p>
      <w:pPr>
        <w:pStyle w:val="BodyText"/>
      </w:pPr>
      <w:r>
        <w:t xml:space="preserve">DAVID W. McINALLY</w:t>
      </w:r>
      <w:r>
        <w:br/>
      </w:r>
      <w:r>
        <w:t xml:space="preserve">President, Emeritus (2013-2021)</w:t>
      </w:r>
    </w:p>
    <w:p>
      <w:pPr>
        <w:pStyle w:val="BodyText"/>
      </w:pPr>
      <w:r>
        <w:t xml:space="preserve">TERRY FUELLING McNABB, Ph.D.</w:t>
      </w:r>
      <w:r>
        <w:br/>
      </w:r>
      <w:r>
        <w:t xml:space="preserve">Professor of Education, Emerita (1995-2016); Associate Dean of the Faculty, (2010–2015).</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MICHAEL E. PUFALL, Ph.D.</w:t>
      </w:r>
      <w:r>
        <w:br/>
      </w:r>
      <w:r>
        <w:t xml:space="preserve">Professor of Theatre Arts, Emeritus (1976–2000).</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5"/>
    <w:bookmarkStart w:id="506" w:name="adjunct-faculty"/>
    <w:p>
      <w:pPr>
        <w:pStyle w:val="Heading3"/>
      </w:pPr>
      <w:r>
        <w:t xml:space="preserve">30.1.3 Adjunct Faculty</w:t>
      </w:r>
    </w:p>
    <w:p>
      <w:pPr>
        <w:pStyle w:val="FirstParagraph"/>
      </w:pPr>
      <w:r>
        <w:t xml:space="preserve">GEOFF CHAPLIN</w:t>
      </w:r>
      <w:r>
        <w:br/>
      </w:r>
      <w:r>
        <w:t xml:space="preserve">Adjunct Assistant Professor of Religion.</w:t>
      </w:r>
      <w:r>
        <w:br/>
      </w:r>
      <w:r>
        <w:t xml:space="preserve">B.A., Oberlin College; M.A., University of Chicago.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MEGUMI POTTER</w:t>
      </w:r>
      <w:r>
        <w:br/>
      </w:r>
      <w:r>
        <w:t xml:space="preserve">Adjunct Instructor of Japanese.</w:t>
      </w:r>
      <w:r>
        <w:br/>
      </w:r>
      <w:r>
        <w:t xml:space="preserve">B.A., University of Iowa; M.A., Baylor University.</w:t>
      </w:r>
    </w:p>
    <w:p>
      <w:pPr>
        <w:pStyle w:val="BodyText"/>
      </w:pPr>
      <w:r>
        <w:t xml:space="preserve">KELLI MARIE RICE</w:t>
      </w:r>
      <w:r>
        <w:br/>
      </w:r>
      <w:r>
        <w:t xml:space="preserve">Adjunct Instructor of Kinesiology.</w:t>
      </w:r>
      <w:r>
        <w:br/>
      </w:r>
      <w:r>
        <w:t xml:space="preserve">B.A., Central College; M.A., University of Iowa.</w:t>
      </w:r>
    </w:p>
    <w:p>
      <w:pPr>
        <w:pStyle w:val="BodyText"/>
      </w:pPr>
      <w:r>
        <w:t xml:space="preserve">KARLA STEFFENS</w:t>
      </w:r>
      <w:r>
        <w:br/>
      </w:r>
      <w:r>
        <w:t xml:space="preserve">Assistant Professor of Theatre Arts and Gender and Sexuality Studies; Coordinator of Crimson Fellows Program.</w:t>
      </w:r>
      <w:r>
        <w:br/>
      </w:r>
      <w:r>
        <w:t xml:space="preserve">B.A., Southern Illinois University; M.A., Johns Hopkins University; M.F.A., University of Iowa.</w:t>
      </w:r>
    </w:p>
    <w:p>
      <w:pPr>
        <w:pStyle w:val="BodyText"/>
      </w:pPr>
      <w:r>
        <w:t xml:space="preserve">CHERISH STEPHENSON</w:t>
      </w:r>
      <w:r>
        <w:br/>
      </w:r>
      <w:r>
        <w:t xml:space="preserve">Adjunct Instructor of Psychology.</w:t>
      </w:r>
      <w:r>
        <w:br/>
      </w:r>
      <w:r>
        <w:t xml:space="preserve">B.A., Coe College; M.S., University of North Carolina at Chapel Hill.</w:t>
      </w:r>
    </w:p>
    <w:p>
      <w:pPr>
        <w:pStyle w:val="BodyText"/>
      </w:pPr>
      <w:r>
        <w:t xml:space="preserve">JAMES WETZEL</w:t>
      </w:r>
      <w:r>
        <w:br/>
      </w:r>
      <w:r>
        <w:t xml:space="preserve">Adjunct Instructor of Astronomy.</w:t>
      </w:r>
      <w:r>
        <w:br/>
      </w:r>
      <w:r>
        <w:t xml:space="preserve">B.SC., University of Iowa.</w:t>
      </w:r>
    </w:p>
    <w:p>
      <w:pPr>
        <w:pStyle w:val="BodyText"/>
      </w:pPr>
      <w:r>
        <w:t xml:space="preserve">BRETT A. WOLGAST</w:t>
      </w:r>
      <w:r>
        <w:br/>
      </w:r>
      <w:r>
        <w:t xml:space="preserve">Assistant Professor of Piano; College Organist.</w:t>
      </w:r>
      <w:r>
        <w:br/>
      </w:r>
      <w:r>
        <w:t xml:space="preserve">B.M., Kansas State University; M.A., M.F.A., D.M.A., University of Iowa.</w:t>
      </w:r>
    </w:p>
    <w:bookmarkEnd w:id="506"/>
    <w:bookmarkStart w:id="507" w:name="special-program-faculty"/>
    <w:p>
      <w:pPr>
        <w:pStyle w:val="Heading3"/>
      </w:pPr>
      <w:r>
        <w:t xml:space="preserve">30.1.4 Special Program Faculty</w:t>
      </w:r>
    </w:p>
    <w:p>
      <w:pPr>
        <w:pStyle w:val="FirstParagraph"/>
      </w:pPr>
      <w:r>
        <w:t xml:space="preserve">ANNA DREXLER</w:t>
      </w:r>
      <w:r>
        <w:br/>
      </w:r>
      <w:r>
        <w:t xml:space="preserve">Instructor and Director of English as a Second Language.</w:t>
      </w:r>
      <w:r>
        <w:br/>
      </w:r>
      <w:r>
        <w:t xml:space="preserve">B.A., Coe College; M.F.A., University of Oregon.</w:t>
      </w:r>
    </w:p>
    <w:p>
      <w:pPr>
        <w:pStyle w:val="BodyText"/>
      </w:pPr>
      <w:r>
        <w:t xml:space="preserve">KATHY WELSH</w:t>
      </w:r>
      <w:r>
        <w:br/>
      </w:r>
      <w:r>
        <w:t xml:space="preserve">Instructor in English as a Second Language.</w:t>
      </w:r>
      <w:r>
        <w:br/>
      </w:r>
      <w:r>
        <w:t xml:space="preserve">B.A., M.A., University of Iowa.</w:t>
      </w:r>
    </w:p>
    <w:bookmarkEnd w:id="507"/>
    <w:bookmarkEnd w:id="508"/>
    <w:bookmarkEnd w:id="509"/>
    <w:bookmarkStart w:id="513" w:name="sec-campus-map"/>
    <w:p>
      <w:pPr>
        <w:pStyle w:val="Heading1"/>
      </w:pPr>
      <w:r>
        <w:t xml:space="preserve">31. CAMPUS MAP</w:t>
      </w:r>
    </w:p>
    <w:p>
      <w:pPr>
        <w:pStyle w:val="FirstParagraph"/>
      </w:pPr>
      <w:r>
        <w:drawing>
          <wp:inline>
            <wp:extent cx="5334000" cy="4229768"/>
            <wp:effectExtent b="0" l="0" r="0" t="0"/>
            <wp:docPr descr="" title="" id="511" name="Picture"/>
            <a:graphic>
              <a:graphicData uri="http://schemas.openxmlformats.org/drawingml/2006/picture">
                <pic:pic>
                  <pic:nvPicPr>
                    <pic:cNvPr descr="catalog_sections/graphics/Campus-Map_full-screen.jpg" id="512" name="Picture"/>
                    <pic:cNvPicPr>
                      <a:picLocks noChangeArrowheads="1" noChangeAspect="1"/>
                    </pic:cNvPicPr>
                  </pic:nvPicPr>
                  <pic:blipFill>
                    <a:blip r:embed="rId510"/>
                    <a:stretch>
                      <a:fillRect/>
                    </a:stretch>
                  </pic:blipFill>
                  <pic:spPr bwMode="auto">
                    <a:xfrm>
                      <a:off x="0" y="0"/>
                      <a:ext cx="5334000" cy="4229768"/>
                    </a:xfrm>
                    <a:prstGeom prst="rect">
                      <a:avLst/>
                    </a:prstGeom>
                    <a:noFill/>
                    <a:ln w="9525">
                      <a:noFill/>
                      <a:headEnd/>
                      <a:tailEnd/>
                    </a:ln>
                  </pic:spPr>
                </pic:pic>
              </a:graphicData>
            </a:graphic>
          </wp:inline>
        </w:drawing>
      </w:r>
    </w:p>
    <w:bookmarkEnd w:id="5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8">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500">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70">
    <w:abstractNumId w:val="991"/>
  </w:num>
  <w:num w:numId="13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0" Target="media/rId510.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93" Target="https://www.coe.edu/admission/financial-aid-scholarships/resources/veterans-and-military-benefits"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6"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2022-2023</dc:title>
  <dc:creator/>
  <cp:keywords/>
  <dcterms:created xsi:type="dcterms:W3CDTF">2024-10-18T07:20:21Z</dcterms:created>
  <dcterms:modified xsi:type="dcterms:W3CDTF">2024-10-18T07:20:21Z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