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0.png" ContentType="image/png"/>
  <Override PartName="/word/media/rId42.png" ContentType="image/png"/>
  <Override PartName="/word/media/rId24.png" ContentType="image/png"/>
  <Override PartName="/word/media/rId26.png" ContentType="image/png"/>
  <Override PartName="/word/media/rId28.png" ContentType="image/png"/>
  <Override PartName="/word/media/rId30.png" ContentType="image/png"/>
  <Override PartName="/word/media/rId32.png" ContentType="image/png"/>
  <Override PartName="/word/media/rId34.png" ContentType="image/png"/>
  <Override PartName="/word/media/rId36.png" ContentType="image/png"/>
  <Override PartName="/word/media/rId3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</w:p>
    <w:p>
      <w:pPr>
        <w:pStyle w:val="Subtitle"/>
      </w:pP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2</w:t>
      </w:r>
    </w:p>
    <w:p>
      <w:pPr>
        <w:pStyle w:val="Author"/>
      </w:pPr>
      <w:r>
        <w:t xml:space="preserve">Кочетов</w:t>
      </w:r>
      <w:r>
        <w:t xml:space="preserve"> </w:t>
      </w:r>
      <w:r>
        <w:t xml:space="preserve">Андрей</w:t>
      </w:r>
      <w:r>
        <w:t xml:space="preserve"> </w:t>
      </w:r>
      <w:r>
        <w:t xml:space="preserve">Владимирович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Получение практических навыков работы в консоли с атрибутами файлов, закрепление теоретических основ дискреционного разграничения доступа в современных системах с открытым кодом на базе ОС Linux.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Лабораторная работа подразумевает создание нового пользователя, работу с директориями, сравнение пользователей, настройку прав и заполение таблиц прав.</w:t>
      </w:r>
    </w:p>
    <w:bookmarkEnd w:id="21"/>
    <w:bookmarkStart w:id="44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Создаю новую учетную запись guest и задаю к ней пароль(рис.1).</w:t>
      </w:r>
    </w:p>
    <w:p>
      <w:pPr>
        <w:numPr>
          <w:ilvl w:val="0"/>
          <w:numId w:val="1000"/>
        </w:numPr>
        <w:pStyle w:val="CaptionedFigure"/>
      </w:pPr>
      <w:bookmarkStart w:id="23" w:name="fig:001"/>
      <w:r>
        <w:drawing>
          <wp:inline>
            <wp:extent cx="5334000" cy="3708400"/>
            <wp:effectExtent b="0" l="0" r="0" t="0"/>
            <wp:docPr descr="Figure 1: рис.1. Пользователь и пароль" title="" id="1" name="Picture"/>
            <a:graphic>
              <a:graphicData uri="http://schemas.openxmlformats.org/drawingml/2006/picture">
                <pic:pic>
                  <pic:nvPicPr>
                    <pic:cNvPr descr="images/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8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numPr>
          <w:ilvl w:val="0"/>
          <w:numId w:val="1000"/>
        </w:numPr>
        <w:pStyle w:val="ImageCaption"/>
      </w:pPr>
      <w:r>
        <w:t xml:space="preserve">Figure 1: рис.1. Пользователь и пароль</w:t>
      </w:r>
    </w:p>
    <w:p>
      <w:pPr>
        <w:numPr>
          <w:ilvl w:val="0"/>
          <w:numId w:val="1001"/>
        </w:numPr>
      </w:pPr>
      <w:r>
        <w:t xml:space="preserve">Захожу в систему под новым пользователем(рис.2).</w:t>
      </w:r>
    </w:p>
    <w:p>
      <w:pPr>
        <w:numPr>
          <w:ilvl w:val="0"/>
          <w:numId w:val="1000"/>
        </w:numPr>
        <w:pStyle w:val="CaptionedFigure"/>
      </w:pPr>
      <w:bookmarkStart w:id="25" w:name="fig:002"/>
      <w:r>
        <w:drawing>
          <wp:inline>
            <wp:extent cx="5334000" cy="4010476"/>
            <wp:effectExtent b="0" l="0" r="0" t="0"/>
            <wp:docPr descr="Figure 2: рис.2. Вход." title="" id="1" name="Picture"/>
            <a:graphic>
              <a:graphicData uri="http://schemas.openxmlformats.org/drawingml/2006/picture">
                <pic:pic>
                  <pic:nvPicPr>
                    <pic:cNvPr descr="images/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04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numPr>
          <w:ilvl w:val="0"/>
          <w:numId w:val="1000"/>
        </w:numPr>
        <w:pStyle w:val="ImageCaption"/>
      </w:pPr>
      <w:r>
        <w:t xml:space="preserve">Figure 2: рис.2. Вход.</w:t>
      </w:r>
    </w:p>
    <w:p>
      <w:pPr>
        <w:numPr>
          <w:ilvl w:val="0"/>
          <w:numId w:val="1001"/>
        </w:numPr>
      </w:pPr>
      <w:r>
        <w:t xml:space="preserve">Определил директорию при помощи команды pwd, убедился, что нахожусь в домашней директории и уточнил имя пользователя командой whoami(рис.3).</w:t>
      </w:r>
    </w:p>
    <w:p>
      <w:pPr>
        <w:numPr>
          <w:ilvl w:val="0"/>
          <w:numId w:val="1000"/>
        </w:numPr>
        <w:pStyle w:val="CaptionedFigure"/>
      </w:pPr>
      <w:bookmarkStart w:id="27" w:name="fig:003"/>
      <w:r>
        <w:drawing>
          <wp:inline>
            <wp:extent cx="5334000" cy="3638810"/>
            <wp:effectExtent b="0" l="0" r="0" t="0"/>
            <wp:docPr descr="Figure 3: рис.3. Директория и пользователь" title="" id="1" name="Picture"/>
            <a:graphic>
              <a:graphicData uri="http://schemas.openxmlformats.org/drawingml/2006/picture">
                <pic:pic>
                  <pic:nvPicPr>
                    <pic:cNvPr descr="images/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88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7"/>
    </w:p>
    <w:p>
      <w:pPr>
        <w:numPr>
          <w:ilvl w:val="0"/>
          <w:numId w:val="1000"/>
        </w:numPr>
        <w:pStyle w:val="ImageCaption"/>
      </w:pPr>
      <w:r>
        <w:t xml:space="preserve">Figure 3: рис.3. Директория и пользователь</w:t>
      </w:r>
    </w:p>
    <w:p>
      <w:pPr>
        <w:numPr>
          <w:ilvl w:val="0"/>
          <w:numId w:val="1001"/>
        </w:numPr>
      </w:pPr>
      <w:r>
        <w:t xml:space="preserve">Уточнил имя пользователя, его группу, а также группы, куда входит пользователь, командой id и сравнил значения с командой groups(рис.4).</w:t>
      </w:r>
      <w:r>
        <w:t xml:space="preserve"> </w:t>
      </w:r>
      <w:r>
        <w:t xml:space="preserve">Команда groups выводит те группы, в которых состоит наш пользователь. Сравнил. Можно сделать вывод, что эти команды выдают одинаковые значения.</w:t>
      </w:r>
    </w:p>
    <w:p>
      <w:pPr>
        <w:numPr>
          <w:ilvl w:val="0"/>
          <w:numId w:val="1000"/>
        </w:numPr>
        <w:pStyle w:val="CaptionedFigure"/>
      </w:pPr>
      <w:bookmarkStart w:id="29" w:name="fig:004"/>
      <w:r>
        <w:drawing>
          <wp:inline>
            <wp:extent cx="5334000" cy="3614295"/>
            <wp:effectExtent b="0" l="0" r="0" t="0"/>
            <wp:docPr descr="Figure 4: рис.4. Сравнение команд" title="" id="1" name="Picture"/>
            <a:graphic>
              <a:graphicData uri="http://schemas.openxmlformats.org/drawingml/2006/picture">
                <pic:pic>
                  <pic:nvPicPr>
                    <pic:cNvPr descr="images/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4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numPr>
          <w:ilvl w:val="0"/>
          <w:numId w:val="1000"/>
        </w:numPr>
        <w:pStyle w:val="ImageCaption"/>
      </w:pPr>
      <w:r>
        <w:t xml:space="preserve">Figure 4: рис.4. Сравнение команд</w:t>
      </w:r>
    </w:p>
    <w:p>
      <w:pPr>
        <w:numPr>
          <w:ilvl w:val="0"/>
          <w:numId w:val="1001"/>
        </w:numPr>
      </w:pPr>
      <w:r>
        <w:t xml:space="preserve">Просмотрел файл /etc/passwd командой cat /etc/passwd(рис.5).</w:t>
      </w:r>
      <w:r>
        <w:t xml:space="preserve"> </w:t>
      </w:r>
      <w:r>
        <w:t xml:space="preserve">Нашел свою учётную запись. Определил uid, gid пользователя. Сравните значения. Они совпадают.</w:t>
      </w:r>
    </w:p>
    <w:p>
      <w:pPr>
        <w:numPr>
          <w:ilvl w:val="0"/>
          <w:numId w:val="1000"/>
        </w:numPr>
        <w:pStyle w:val="CaptionedFigure"/>
      </w:pPr>
      <w:bookmarkStart w:id="31" w:name="fig:005"/>
      <w:r>
        <w:drawing>
          <wp:inline>
            <wp:extent cx="5334000" cy="3633833"/>
            <wp:effectExtent b="0" l="0" r="0" t="0"/>
            <wp:docPr descr="Figure 5: рис.5. Сравнение значений" title="" id="1" name="Picture"/>
            <a:graphic>
              <a:graphicData uri="http://schemas.openxmlformats.org/drawingml/2006/picture">
                <pic:pic>
                  <pic:nvPicPr>
                    <pic:cNvPr descr="images/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38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numPr>
          <w:ilvl w:val="0"/>
          <w:numId w:val="1000"/>
        </w:numPr>
        <w:pStyle w:val="ImageCaption"/>
      </w:pPr>
      <w:r>
        <w:t xml:space="preserve">Figure 5: рис.5. Сравнение значений</w:t>
      </w:r>
    </w:p>
    <w:p>
      <w:pPr>
        <w:numPr>
          <w:ilvl w:val="0"/>
          <w:numId w:val="1001"/>
        </w:numPr>
      </w:pPr>
      <w:r>
        <w:t xml:space="preserve">Определил существующие в системе директории командой ls -l /home/(рис.6).</w:t>
      </w:r>
      <w:r>
        <w:t xml:space="preserve"> </w:t>
      </w:r>
      <w:r>
        <w:t xml:space="preserve">Удалось определить существующие поддиректории директории /home.</w:t>
      </w:r>
      <w:r>
        <w:t xml:space="preserve"> </w:t>
      </w:r>
      <w:r>
        <w:t xml:space="preserve">Флаг «d» говорит, что guest и avkochetov – это каталоги. Для обоих каталогов – полные права (rwx).</w:t>
      </w:r>
    </w:p>
    <w:p>
      <w:pPr>
        <w:numPr>
          <w:ilvl w:val="0"/>
          <w:numId w:val="1000"/>
        </w:numPr>
        <w:pStyle w:val="CaptionedFigure"/>
      </w:pPr>
      <w:bookmarkStart w:id="33" w:name="fig:006"/>
      <w:r>
        <w:drawing>
          <wp:inline>
            <wp:extent cx="5334000" cy="3621851"/>
            <wp:effectExtent b="0" l="0" r="0" t="0"/>
            <wp:docPr descr="Figure 6: рис.6. Определение поддиректорий" title="" id="1" name="Picture"/>
            <a:graphic>
              <a:graphicData uri="http://schemas.openxmlformats.org/drawingml/2006/picture">
                <pic:pic>
                  <pic:nvPicPr>
                    <pic:cNvPr descr="images/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18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numPr>
          <w:ilvl w:val="0"/>
          <w:numId w:val="1000"/>
        </w:numPr>
        <w:pStyle w:val="ImageCaption"/>
      </w:pPr>
      <w:r>
        <w:t xml:space="preserve">Figure 6: рис.6. Определение поддиректорий</w:t>
      </w:r>
    </w:p>
    <w:p>
      <w:pPr>
        <w:numPr>
          <w:ilvl w:val="0"/>
          <w:numId w:val="1001"/>
        </w:numPr>
      </w:pPr>
      <w:r>
        <w:t xml:space="preserve">Проверил, какие расширенные атрибуты установлены на поддиректориях, находящихся в директории /home, командой lsattr /home(рис.7).</w:t>
      </w:r>
      <w:r>
        <w:t xml:space="preserve"> </w:t>
      </w:r>
      <w:r>
        <w:t xml:space="preserve">Расширенные атрибуты других пользователей увидеть не удалось, так как недостаточно прав – отказано в доступе.</w:t>
      </w:r>
    </w:p>
    <w:p>
      <w:pPr>
        <w:numPr>
          <w:ilvl w:val="0"/>
          <w:numId w:val="1000"/>
        </w:numPr>
        <w:pStyle w:val="CaptionedFigure"/>
      </w:pPr>
      <w:bookmarkStart w:id="35" w:name="fig:007"/>
      <w:r>
        <w:drawing>
          <wp:inline>
            <wp:extent cx="5334000" cy="3614295"/>
            <wp:effectExtent b="0" l="0" r="0" t="0"/>
            <wp:docPr descr="Figure 7: рис.7. Атрибуты" title="" id="1" name="Picture"/>
            <a:graphic>
              <a:graphicData uri="http://schemas.openxmlformats.org/drawingml/2006/picture">
                <pic:pic>
                  <pic:nvPicPr>
                    <pic:cNvPr descr="images/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142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5"/>
    </w:p>
    <w:p>
      <w:pPr>
        <w:numPr>
          <w:ilvl w:val="0"/>
          <w:numId w:val="1000"/>
        </w:numPr>
        <w:pStyle w:val="ImageCaption"/>
      </w:pPr>
      <w:r>
        <w:t xml:space="preserve">Figure 7: рис.7. Атрибуты</w:t>
      </w:r>
    </w:p>
    <w:p>
      <w:pPr>
        <w:numPr>
          <w:ilvl w:val="0"/>
          <w:numId w:val="1001"/>
        </w:numPr>
      </w:pPr>
      <w:r>
        <w:t xml:space="preserve">Создаю в домашней директории поддиректорию dir1 и определяю, какие права доступа и расширенные атрибуты были выставлены на директорию dir1 (рис.8-9).</w:t>
      </w:r>
    </w:p>
    <w:p>
      <w:pPr>
        <w:numPr>
          <w:ilvl w:val="0"/>
          <w:numId w:val="1000"/>
        </w:numPr>
        <w:pStyle w:val="CaptionedFigure"/>
      </w:pPr>
      <w:bookmarkStart w:id="37" w:name="fig:008"/>
      <w:r>
        <w:drawing>
          <wp:inline>
            <wp:extent cx="5334000" cy="3663020"/>
            <wp:effectExtent b="0" l="0" r="0" t="0"/>
            <wp:docPr descr="Figure 8: рис.8. Права доступа" title="" id="1" name="Picture"/>
            <a:graphic>
              <a:graphicData uri="http://schemas.openxmlformats.org/drawingml/2006/picture">
                <pic:pic>
                  <pic:nvPicPr>
                    <pic:cNvPr descr="images/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3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numPr>
          <w:ilvl w:val="0"/>
          <w:numId w:val="1000"/>
        </w:numPr>
        <w:pStyle w:val="ImageCaption"/>
      </w:pPr>
      <w:r>
        <w:t xml:space="preserve">Figure 8: рис.8. Права доступа</w:t>
      </w:r>
    </w:p>
    <w:p>
      <w:pPr>
        <w:numPr>
          <w:ilvl w:val="0"/>
          <w:numId w:val="1000"/>
        </w:numPr>
        <w:pStyle w:val="CaptionedFigure"/>
      </w:pPr>
      <w:bookmarkStart w:id="39" w:name="fig:009"/>
      <w:r>
        <w:drawing>
          <wp:inline>
            <wp:extent cx="5334000" cy="2244755"/>
            <wp:effectExtent b="0" l="0" r="0" t="0"/>
            <wp:docPr descr="Figure 9: рис.9. Атрибуты" title="" id="1" name="Picture"/>
            <a:graphic>
              <a:graphicData uri="http://schemas.openxmlformats.org/drawingml/2006/picture">
                <pic:pic>
                  <pic:nvPicPr>
                    <pic:cNvPr descr="images/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447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9"/>
    </w:p>
    <w:p>
      <w:pPr>
        <w:numPr>
          <w:ilvl w:val="0"/>
          <w:numId w:val="1000"/>
        </w:numPr>
        <w:pStyle w:val="ImageCaption"/>
      </w:pPr>
      <w:r>
        <w:t xml:space="preserve">Figure 9: рис.9. Атрибуты</w:t>
      </w:r>
    </w:p>
    <w:p>
      <w:pPr>
        <w:numPr>
          <w:ilvl w:val="0"/>
          <w:numId w:val="1001"/>
        </w:numPr>
      </w:pPr>
      <w:r>
        <w:t xml:space="preserve">Снимаю с директории dir1 все атрибуты командой chmod 000 dir1 и проверяю с её помощью правильность выполнения команды ls -l(рис.10).</w:t>
      </w:r>
    </w:p>
    <w:p>
      <w:pPr>
        <w:numPr>
          <w:ilvl w:val="0"/>
          <w:numId w:val="1000"/>
        </w:numPr>
        <w:pStyle w:val="CaptionedFigure"/>
      </w:pPr>
      <w:bookmarkStart w:id="41" w:name="fig:010"/>
      <w:r>
        <w:drawing>
          <wp:inline>
            <wp:extent cx="5334000" cy="3643442"/>
            <wp:effectExtent b="0" l="0" r="0" t="0"/>
            <wp:docPr descr="Figure 10: рис.10. Снятие атрибутов и проверка" title="" id="1" name="Picture"/>
            <a:graphic>
              <a:graphicData uri="http://schemas.openxmlformats.org/drawingml/2006/picture">
                <pic:pic>
                  <pic:nvPicPr>
                    <pic:cNvPr descr="images/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3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numPr>
          <w:ilvl w:val="0"/>
          <w:numId w:val="1000"/>
        </w:numPr>
        <w:pStyle w:val="ImageCaption"/>
      </w:pPr>
      <w:r>
        <w:t xml:space="preserve">Figure 10: рис.10. Снятие атрибутов и проверка</w:t>
      </w:r>
    </w:p>
    <w:p>
      <w:pPr>
        <w:numPr>
          <w:ilvl w:val="0"/>
          <w:numId w:val="1001"/>
        </w:numPr>
      </w:pPr>
      <w:r>
        <w:t xml:space="preserve">Попытался создать в директории dir1 файл file1 и проверить действительно ли он не находится внутри директории dir1(рис.11).</w:t>
      </w:r>
      <w:r>
        <w:t xml:space="preserve"> </w:t>
      </w:r>
      <w:r>
        <w:t xml:space="preserve">Увидел, что не могу производить никакие действия с dir1, потому что ранее снял все атрибуты.</w:t>
      </w:r>
    </w:p>
    <w:p>
      <w:pPr>
        <w:pStyle w:val="CaptionedFigure"/>
      </w:pPr>
      <w:bookmarkStart w:id="43" w:name="fig:011"/>
      <w:r>
        <w:drawing>
          <wp:inline>
            <wp:extent cx="5334000" cy="3639152"/>
            <wp:effectExtent b="0" l="0" r="0" t="0"/>
            <wp:docPr descr="Figure 11: рис.11. Нет доступа" title="" id="1" name="Picture"/>
            <a:graphic>
              <a:graphicData uri="http://schemas.openxmlformats.org/drawingml/2006/picture">
                <pic:pic>
                  <pic:nvPicPr>
                    <pic:cNvPr descr="images/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9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3"/>
    </w:p>
    <w:p>
      <w:pPr>
        <w:pStyle w:val="ImageCaption"/>
      </w:pPr>
      <w:r>
        <w:t xml:space="preserve">Figure 11: рис.11. Нет доступа</w:t>
      </w:r>
    </w:p>
    <w:p>
      <w:pPr>
        <w:numPr>
          <w:ilvl w:val="0"/>
          <w:numId w:val="1002"/>
        </w:numPr>
      </w:pPr>
      <w:r>
        <w:t xml:space="preserve">Заполняю таблицу, выполняя действия от имени владельца директории, определив опытным путём, какие операции разрешены, а какие нет.</w:t>
      </w:r>
      <w:r>
        <w:t xml:space="preserve"> </w:t>
      </w:r>
      <w:r>
        <w:t xml:space="preserve">Если операция разрешена, занесите в таблицу знак «+», если не разрешена, знак «-».</w:t>
      </w: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792"/>
        <w:gridCol w:w="792"/>
        <w:gridCol w:w="792"/>
        <w:gridCol w:w="792"/>
        <w:gridCol w:w="792"/>
        <w:gridCol w:w="792"/>
        <w:gridCol w:w="792"/>
        <w:gridCol w:w="792"/>
        <w:gridCol w:w="792"/>
        <w:gridCol w:w="792"/>
      </w:tblGrid>
      <w:tr>
        <w:trPr>
          <w:tblHeader w:val="true"/>
        </w:trP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Правка дир.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Права файла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Создание файла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Удаление файла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Запись в файл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Чтение файла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Смена дир.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Просмотр файлов в дир.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Переименование файла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Смена атр. файла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d(000)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d(100)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d(200)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d(300)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d(400)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d(500)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d(600)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d(700)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(000)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d(000)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(100)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d(100)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(100)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d(200)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(100)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d(300)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(100)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d(400)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(100)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d(500)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(100)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d(600)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(100)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d(700)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(100)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d(000)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(200)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d(100)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(200)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d(200)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(200)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d(300)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(200)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d(400)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(200)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d(500)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(200)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d(600)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(200)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d(700)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(200)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d(000)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(300)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d(100)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(300)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d(200)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(300)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d(300)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(300)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d(400)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(300)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d(500)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(300)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d(600)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(300)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d(700)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(300)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d(000)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(400)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d(100)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(400)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d(200)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(400)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d(300)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(400)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d(400)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(400)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d(500)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(400)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d(600)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(400)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d(700)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(400)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d(000)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(500)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d(100)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(500)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d(200)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(500)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d(300)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(500)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d(400)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(500)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d(500)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(500)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d(600)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(500)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d(700)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(500)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d(000)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(600)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d(100)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(600)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d(200)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(600)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d(300)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(600)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d(400)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(600)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d(500)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(600)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d(600)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(600)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d(700)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(600)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d(000)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(700)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d(100)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(700)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d(200)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(700)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d(300)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(700)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d(400)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(700)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d(500)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(700)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d(600)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(700)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-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d(700)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(700)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+</w:t>
            </w:r>
          </w:p>
        </w:tc>
      </w:tr>
    </w:tbl>
    <w:p>
      <w:pPr>
        <w:numPr>
          <w:ilvl w:val="0"/>
          <w:numId w:val="1002"/>
        </w:numPr>
      </w:pPr>
      <w:r>
        <w:t xml:space="preserve">На основании заполненной таблицы определил те или иные минимально необходимые права для выполнения операций внутри директории dir1.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Операция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Минимальные права на директорию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Минимальные права на файл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Создание файла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300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000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Удаление файла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300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000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Чтение файла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100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400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Запись в файл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300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600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Переименование файла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300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000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Создание поддиректории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300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—</w:t>
            </w:r>
          </w:p>
        </w:tc>
      </w:tr>
      <w:tr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Удаление поддиректории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300</w:t>
            </w:r>
          </w:p>
        </w:tc>
        <w:tc>
          <w:tcPr/>
          <w:p>
            <w:pPr>
              <w:numPr>
                <w:ilvl w:val="0"/>
                <w:numId w:val="1000"/>
              </w:numPr>
              <w:pStyle w:val="Compact"/>
              <w:jc w:val="left"/>
            </w:pPr>
            <w:r>
              <w:t xml:space="preserve">—</w:t>
            </w:r>
          </w:p>
        </w:tc>
      </w:tr>
    </w:tbl>
    <w:bookmarkEnd w:id="44"/>
    <w:bookmarkStart w:id="45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Получил практические навыки работы в консоли с атрибутами файлов, закрепил теоретические основы дискреционного разграничения доступа в современных системах с открытым кодом на базе ОС Linux.</w:t>
      </w:r>
    </w:p>
    <w:bookmarkEnd w:id="4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0" Target="media/rId40.png" /><Relationship Type="http://schemas.openxmlformats.org/officeDocument/2006/relationships/image" Id="rId42" Target="media/rId42.png" /><Relationship Type="http://schemas.openxmlformats.org/officeDocument/2006/relationships/image" Id="rId24" Target="media/rId24.png" /><Relationship Type="http://schemas.openxmlformats.org/officeDocument/2006/relationships/image" Id="rId26" Target="media/rId26.png" /><Relationship Type="http://schemas.openxmlformats.org/officeDocument/2006/relationships/image" Id="rId28" Target="media/rId28.png" /><Relationship Type="http://schemas.openxmlformats.org/officeDocument/2006/relationships/image" Id="rId30" Target="media/rId30.png" /><Relationship Type="http://schemas.openxmlformats.org/officeDocument/2006/relationships/image" Id="rId32" Target="media/rId32.png" /><Relationship Type="http://schemas.openxmlformats.org/officeDocument/2006/relationships/image" Id="rId34" Target="media/rId34.png" /><Relationship Type="http://schemas.openxmlformats.org/officeDocument/2006/relationships/image" Id="rId36" Target="media/rId36.png" /><Relationship Type="http://schemas.openxmlformats.org/officeDocument/2006/relationships/image" Id="rId38" Target="media/rId3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</dc:title>
  <dc:creator>Кочетов Андрей Владимирович</dc:creator>
  <dc:language>ru-RU</dc:language>
  <cp:keywords/>
  <dcterms:created xsi:type="dcterms:W3CDTF">2021-10-02T10:33:43Z</dcterms:created>
  <dcterms:modified xsi:type="dcterms:W3CDTF">2021-10-02T10:33:43Z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Prefix">
    <vt:lpwstr/>
  </property>
  <property fmtid="{D5CDD505-2E9C-101B-9397-08002B2CF9AE}" pid="16" name="eqnPrefixTemplate">
    <vt:lpwstr>p i</vt:lpwstr>
  </property>
  <property fmtid="{D5CDD505-2E9C-101B-9397-08002B2CF9AE}" pid="17" name="equationNumberTeX">
    <vt:lpwstr>qquad</vt:lpwstr>
  </property>
  <property fmtid="{D5CDD505-2E9C-101B-9397-08002B2CF9AE}" pid="18" name="figLabels">
    <vt:lpwstr>arabic</vt:lpwstr>
  </property>
  <property fmtid="{D5CDD505-2E9C-101B-9397-08002B2CF9AE}" pid="19" name="figPrefix">
    <vt:lpwstr/>
  </property>
  <property fmtid="{D5CDD505-2E9C-101B-9397-08002B2CF9AE}" pid="20" name="figPrefixTemplate">
    <vt:lpwstr>p i</vt:lpwstr>
  </property>
  <property fmtid="{D5CDD505-2E9C-101B-9397-08002B2CF9AE}" pid="21" name="figureTemplate">
    <vt:lpwstr>figureTitle ititleDelim t</vt:lpwstr>
  </property>
  <property fmtid="{D5CDD505-2E9C-101B-9397-08002B2CF9AE}" pid="22" name="figureTitle">
    <vt:lpwstr>Figure</vt:lpwstr>
  </property>
  <property fmtid="{D5CDD505-2E9C-101B-9397-08002B2CF9AE}" pid="23" name="fontsize">
    <vt:lpwstr>12pt</vt:lpwstr>
  </property>
  <property fmtid="{D5CDD505-2E9C-101B-9397-08002B2CF9AE}" pid="24" name="header-includes">
    <vt:lpwstr/>
  </property>
  <property fmtid="{D5CDD505-2E9C-101B-9397-08002B2CF9AE}" pid="25" name="indent">
    <vt:lpwstr>True</vt:lpwstr>
  </property>
  <property fmtid="{D5CDD505-2E9C-101B-9397-08002B2CF9AE}" pid="26" name="lastDelim">
    <vt:lpwstr>, </vt:lpwstr>
  </property>
  <property fmtid="{D5CDD505-2E9C-101B-9397-08002B2CF9AE}" pid="27" name="linestretch">
    <vt:lpwstr>1.5</vt:lpwstr>
  </property>
  <property fmtid="{D5CDD505-2E9C-101B-9397-08002B2CF9AE}" pid="28" name="linkReferences">
    <vt:lpwstr>False</vt:lpwstr>
  </property>
  <property fmtid="{D5CDD505-2E9C-101B-9397-08002B2CF9AE}" pid="29" name="listingTemplate">
    <vt:lpwstr>listingTitle ititleDelim t</vt:lpwstr>
  </property>
  <property fmtid="{D5CDD505-2E9C-101B-9397-08002B2CF9AE}" pid="30" name="listingTitle">
    <vt:lpwstr>Listing</vt:lpwstr>
  </property>
  <property fmtid="{D5CDD505-2E9C-101B-9397-08002B2CF9AE}" pid="31" name="listings">
    <vt:lpwstr>False</vt:lpwstr>
  </property>
  <property fmtid="{D5CDD505-2E9C-101B-9397-08002B2CF9AE}" pid="32" name="lof">
    <vt:lpwstr>True</vt:lpwstr>
  </property>
  <property fmtid="{D5CDD505-2E9C-101B-9397-08002B2CF9AE}" pid="33" name="lofTitle">
    <vt:lpwstr>List of Figures</vt:lpwstr>
  </property>
  <property fmtid="{D5CDD505-2E9C-101B-9397-08002B2CF9AE}" pid="34" name="lolTitle">
    <vt:lpwstr>List of Listings</vt:lpwstr>
  </property>
  <property fmtid="{D5CDD505-2E9C-101B-9397-08002B2CF9AE}" pid="35" name="lot">
    <vt:lpwstr>True</vt:lpwstr>
  </property>
  <property fmtid="{D5CDD505-2E9C-101B-9397-08002B2CF9AE}" pid="36" name="lotTitle">
    <vt:lpwstr>List of Tables</vt:lpwstr>
  </property>
  <property fmtid="{D5CDD505-2E9C-101B-9397-08002B2CF9AE}" pid="37" name="lstLabels">
    <vt:lpwstr>arabic</vt:lpwstr>
  </property>
  <property fmtid="{D5CDD505-2E9C-101B-9397-08002B2CF9AE}" pid="38" name="lstPrefix">
    <vt:lpwstr/>
  </property>
  <property fmtid="{D5CDD505-2E9C-101B-9397-08002B2CF9AE}" pid="39" name="lstPrefixTemplate">
    <vt:lpwstr>p i</vt:lpwstr>
  </property>
  <property fmtid="{D5CDD505-2E9C-101B-9397-08002B2CF9AE}" pid="40" name="mainfont">
    <vt:lpwstr>LiberationSerif</vt:lpwstr>
  </property>
  <property fmtid="{D5CDD505-2E9C-101B-9397-08002B2CF9AE}" pid="41" name="mainfontoptions">
    <vt:lpwstr>Ligatures=TeX</vt:lpwstr>
  </property>
  <property fmtid="{D5CDD505-2E9C-101B-9397-08002B2CF9AE}" pid="42" name="monofont">
    <vt:lpwstr>LiberationMono</vt:lpwstr>
  </property>
  <property fmtid="{D5CDD505-2E9C-101B-9397-08002B2CF9AE}" pid="43" name="monofontoptions">
    <vt:lpwstr>Scale=MatchLowercase</vt:lpwstr>
  </property>
  <property fmtid="{D5CDD505-2E9C-101B-9397-08002B2CF9AE}" pid="44" name="nameInLink">
    <vt:lpwstr>False</vt:lpwstr>
  </property>
  <property fmtid="{D5CDD505-2E9C-101B-9397-08002B2CF9AE}" pid="45" name="numberSections">
    <vt:lpwstr>False</vt:lpwstr>
  </property>
  <property fmtid="{D5CDD505-2E9C-101B-9397-08002B2CF9AE}" pid="46" name="pairDelim">
    <vt:lpwstr>, </vt:lpwstr>
  </property>
  <property fmtid="{D5CDD505-2E9C-101B-9397-08002B2CF9AE}" pid="47" name="papersize">
    <vt:lpwstr>a4paper</vt:lpwstr>
  </property>
  <property fmtid="{D5CDD505-2E9C-101B-9397-08002B2CF9AE}" pid="48" name="pdf-engine">
    <vt:lpwstr>lualatex</vt:lpwstr>
  </property>
  <property fmtid="{D5CDD505-2E9C-101B-9397-08002B2CF9AE}" pid="49" name="polyglossia-lang">
    <vt:lpwstr>russian</vt:lpwstr>
  </property>
  <property fmtid="{D5CDD505-2E9C-101B-9397-08002B2CF9AE}" pid="50" name="polyglossia-otherlangs">
    <vt:lpwstr>english</vt:lpwstr>
  </property>
  <property fmtid="{D5CDD505-2E9C-101B-9397-08002B2CF9AE}" pid="51" name="rangeDelim">
    <vt:lpwstr>-</vt:lpwstr>
  </property>
  <property fmtid="{D5CDD505-2E9C-101B-9397-08002B2CF9AE}" pid="52" name="refDelim">
    <vt:lpwstr>, </vt:lpwstr>
  </property>
  <property fmtid="{D5CDD505-2E9C-101B-9397-08002B2CF9AE}" pid="53" name="refIndexTemplate">
    <vt:lpwstr>isuf</vt:lpwstr>
  </property>
  <property fmtid="{D5CDD505-2E9C-101B-9397-08002B2CF9AE}" pid="54" name="romanfont">
    <vt:lpwstr>LiberationSerif</vt:lpwstr>
  </property>
  <property fmtid="{D5CDD505-2E9C-101B-9397-08002B2CF9AE}" pid="55" name="romanfontoptions">
    <vt:lpwstr>Ligatures=TeX</vt:lpwstr>
  </property>
  <property fmtid="{D5CDD505-2E9C-101B-9397-08002B2CF9AE}" pid="56" name="sansfont">
    <vt:lpwstr>LiberationSans</vt:lpwstr>
  </property>
  <property fmtid="{D5CDD505-2E9C-101B-9397-08002B2CF9AE}" pid="57" name="sansfontoptions">
    <vt:lpwstr>Ligatures=TeX,Scale=MatchLowercase</vt:lpwstr>
  </property>
  <property fmtid="{D5CDD505-2E9C-101B-9397-08002B2CF9AE}" pid="58" name="secHeaderDelim">
    <vt:lpwstr> </vt:lpwstr>
  </property>
  <property fmtid="{D5CDD505-2E9C-101B-9397-08002B2CF9AE}" pid="59" name="secHeaderTemplate">
    <vt:lpwstr>isecHeaderDelim[n]t</vt:lpwstr>
  </property>
  <property fmtid="{D5CDD505-2E9C-101B-9397-08002B2CF9AE}" pid="60" name="secLabels">
    <vt:lpwstr>arabic</vt:lpwstr>
  </property>
  <property fmtid="{D5CDD505-2E9C-101B-9397-08002B2CF9AE}" pid="61" name="secPrefix">
    <vt:lpwstr/>
  </property>
  <property fmtid="{D5CDD505-2E9C-101B-9397-08002B2CF9AE}" pid="62" name="secPrefixTemplate">
    <vt:lpwstr>p i</vt:lpwstr>
  </property>
  <property fmtid="{D5CDD505-2E9C-101B-9397-08002B2CF9AE}" pid="63" name="sectionsDepth">
    <vt:lpwstr>0</vt:lpwstr>
  </property>
  <property fmtid="{D5CDD505-2E9C-101B-9397-08002B2CF9AE}" pid="64" name="subfigGrid">
    <vt:lpwstr>False</vt:lpwstr>
  </property>
  <property fmtid="{D5CDD505-2E9C-101B-9397-08002B2CF9AE}" pid="65" name="subfigLabels">
    <vt:lpwstr>alpha a</vt:lpwstr>
  </property>
  <property fmtid="{D5CDD505-2E9C-101B-9397-08002B2CF9AE}" pid="66" name="subfigureChildTemplate">
    <vt:lpwstr>i</vt:lpwstr>
  </property>
  <property fmtid="{D5CDD505-2E9C-101B-9397-08002B2CF9AE}" pid="67" name="subfigureRefIndexTemplate">
    <vt:lpwstr>isuf (s)</vt:lpwstr>
  </property>
  <property fmtid="{D5CDD505-2E9C-101B-9397-08002B2CF9AE}" pid="68" name="subfigureTemplate">
    <vt:lpwstr>figureTitle ititleDelim t. ccs</vt:lpwstr>
  </property>
  <property fmtid="{D5CDD505-2E9C-101B-9397-08002B2CF9AE}" pid="69" name="subtitle">
    <vt:lpwstr>по лабораторной работе 2</vt:lpwstr>
  </property>
  <property fmtid="{D5CDD505-2E9C-101B-9397-08002B2CF9AE}" pid="70" name="tableEqns">
    <vt:lpwstr>False</vt:lpwstr>
  </property>
  <property fmtid="{D5CDD505-2E9C-101B-9397-08002B2CF9AE}" pid="71" name="tableTemplate">
    <vt:lpwstr>tableTitle ititleDelim t</vt:lpwstr>
  </property>
  <property fmtid="{D5CDD505-2E9C-101B-9397-08002B2CF9AE}" pid="72" name="tableTitle">
    <vt:lpwstr>Table</vt:lpwstr>
  </property>
  <property fmtid="{D5CDD505-2E9C-101B-9397-08002B2CF9AE}" pid="73" name="tblLabels">
    <vt:lpwstr>arabic</vt:lpwstr>
  </property>
  <property fmtid="{D5CDD505-2E9C-101B-9397-08002B2CF9AE}" pid="74" name="tblPrefix">
    <vt:lpwstr/>
  </property>
  <property fmtid="{D5CDD505-2E9C-101B-9397-08002B2CF9AE}" pid="75" name="tblPrefixTemplate">
    <vt:lpwstr>p i</vt:lpwstr>
  </property>
  <property fmtid="{D5CDD505-2E9C-101B-9397-08002B2CF9AE}" pid="76" name="titleDelim">
    <vt:lpwstr>:</vt:lpwstr>
  </property>
  <property fmtid="{D5CDD505-2E9C-101B-9397-08002B2CF9AE}" pid="77" name="toc">
    <vt:lpwstr>True</vt:lpwstr>
  </property>
  <property fmtid="{D5CDD505-2E9C-101B-9397-08002B2CF9AE}" pid="78" name="toc-title">
    <vt:lpwstr>Содержание</vt:lpwstr>
  </property>
  <property fmtid="{D5CDD505-2E9C-101B-9397-08002B2CF9AE}" pid="79" name="toc_depth">
    <vt:lpwstr>2</vt:lpwstr>
  </property>
</Properties>
</file>