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</w:p>
    <w:p>
      <w:pPr>
        <w:pStyle w:val="Subtitle"/>
      </w:pP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5</w:t>
      </w:r>
    </w:p>
    <w:p>
      <w:pPr>
        <w:pStyle w:val="Author"/>
      </w:pPr>
      <w:r>
        <w:t xml:space="preserve">Кочетов</w:t>
      </w:r>
      <w:r>
        <w:t xml:space="preserve"> </w:t>
      </w:r>
      <w:r>
        <w:t xml:space="preserve">Андрей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Изучение механизмов изменения идентификаторов, применения SetUID- и Sticky-битов. Получение практических навыков работы в консоли с дополнительными атрибутами. Рассмотрение работы механизма смены идентификатора процессов пользователей, а также влияние бита Sticky на запись и удаление файлов.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Улучшить навыки работы с консолью и атрибутами. Научиться писать программы и работать с ними.</w:t>
      </w:r>
    </w:p>
    <w:bookmarkEnd w:id="21"/>
    <w:bookmarkStart w:id="5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Убедился, что программа установлена и выключил систему запретов(рис.1).</w:t>
      </w:r>
    </w:p>
    <w:p>
      <w:pPr>
        <w:numPr>
          <w:ilvl w:val="0"/>
          <w:numId w:val="1000"/>
        </w:numPr>
        <w:pStyle w:val="CaptionedFigure"/>
      </w:pPr>
      <w:bookmarkStart w:id="23" w:name="fig:001"/>
      <w:r>
        <w:drawing>
          <wp:inline>
            <wp:extent cx="5334000" cy="2108790"/>
            <wp:effectExtent b="0" l="0" r="0" t="0"/>
            <wp:docPr descr="Figure 1: рис.1. Подготовка" title="" id="1" name="Picture"/>
            <a:graphic>
              <a:graphicData uri="http://schemas.openxmlformats.org/drawingml/2006/picture">
                <pic:pic>
                  <pic:nvPicPr>
                    <pic:cNvPr descr="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8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numPr>
          <w:ilvl w:val="0"/>
          <w:numId w:val="1000"/>
        </w:numPr>
        <w:pStyle w:val="ImageCaption"/>
      </w:pPr>
      <w:r>
        <w:t xml:space="preserve">Figure 1: рис.1. Подготовка</w:t>
      </w:r>
    </w:p>
    <w:p>
      <w:pPr>
        <w:numPr>
          <w:ilvl w:val="0"/>
          <w:numId w:val="1001"/>
        </w:numPr>
      </w:pPr>
      <w:r>
        <w:t xml:space="preserve">Вошел в систему от guest и создал программу simpleid.c(рис.2-3).</w:t>
      </w:r>
    </w:p>
    <w:p>
      <w:pPr>
        <w:numPr>
          <w:ilvl w:val="0"/>
          <w:numId w:val="1000"/>
        </w:numPr>
        <w:pStyle w:val="CaptionedFigure"/>
      </w:pPr>
      <w:bookmarkStart w:id="25" w:name="fig:002"/>
      <w:r>
        <w:drawing>
          <wp:inline>
            <wp:extent cx="5334000" cy="986971"/>
            <wp:effectExtent b="0" l="0" r="0" t="0"/>
            <wp:docPr descr="Figure 2: рис.2. Создание программы" title="" id="1" name="Picture"/>
            <a:graphic>
              <a:graphicData uri="http://schemas.openxmlformats.org/drawingml/2006/picture">
                <pic:pic>
                  <pic:nvPicPr>
                    <pic:cNvPr descr="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6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numPr>
          <w:ilvl w:val="0"/>
          <w:numId w:val="1000"/>
        </w:numPr>
        <w:pStyle w:val="ImageCaption"/>
      </w:pPr>
      <w:r>
        <w:t xml:space="preserve">Figure 2: рис.2. Создание программы</w:t>
      </w:r>
    </w:p>
    <w:p>
      <w:pPr>
        <w:numPr>
          <w:ilvl w:val="0"/>
          <w:numId w:val="1000"/>
        </w:numPr>
        <w:pStyle w:val="CaptionedFigure"/>
      </w:pPr>
      <w:bookmarkStart w:id="27" w:name="fig:003"/>
      <w:r>
        <w:drawing>
          <wp:inline>
            <wp:extent cx="5334000" cy="3619762"/>
            <wp:effectExtent b="0" l="0" r="0" t="0"/>
            <wp:docPr descr="Figure 3: рис.3. Код программы" title="" id="1" name="Picture"/>
            <a:graphic>
              <a:graphicData uri="http://schemas.openxmlformats.org/drawingml/2006/picture">
                <pic:pic>
                  <pic:nvPicPr>
                    <pic:cNvPr descr="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numPr>
          <w:ilvl w:val="0"/>
          <w:numId w:val="1000"/>
        </w:numPr>
        <w:pStyle w:val="ImageCaption"/>
      </w:pPr>
      <w:r>
        <w:t xml:space="preserve">Figure 3: рис.3. Код программы</w:t>
      </w:r>
    </w:p>
    <w:p>
      <w:pPr>
        <w:numPr>
          <w:ilvl w:val="0"/>
          <w:numId w:val="1001"/>
        </w:numPr>
      </w:pPr>
      <w:r>
        <w:t xml:space="preserve">Скомпилировал программу, выполнил ее и выполнил системную программу id. Сравнил полученные результаты(рис.4).</w:t>
      </w:r>
    </w:p>
    <w:p>
      <w:pPr>
        <w:numPr>
          <w:ilvl w:val="0"/>
          <w:numId w:val="1000"/>
        </w:numPr>
        <w:pStyle w:val="CaptionedFigure"/>
      </w:pPr>
      <w:bookmarkStart w:id="29" w:name="fig:004"/>
      <w:r>
        <w:drawing>
          <wp:inline>
            <wp:extent cx="5334000" cy="1127212"/>
            <wp:effectExtent b="0" l="0" r="0" t="0"/>
            <wp:docPr descr="Figure 4: рис.4. Выполнение программ" title="" id="1" name="Picture"/>
            <a:graphic>
              <a:graphicData uri="http://schemas.openxmlformats.org/drawingml/2006/picture">
                <pic:pic>
                  <pic:nvPicPr>
                    <pic:cNvPr descr="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7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numPr>
          <w:ilvl w:val="0"/>
          <w:numId w:val="1000"/>
        </w:numPr>
        <w:pStyle w:val="ImageCaption"/>
      </w:pPr>
      <w:r>
        <w:t xml:space="preserve">Figure 4: рис.4. Выполнение программ</w:t>
      </w:r>
    </w:p>
    <w:p>
      <w:pPr>
        <w:numPr>
          <w:ilvl w:val="0"/>
          <w:numId w:val="1001"/>
        </w:numPr>
      </w:pPr>
      <w:r>
        <w:t xml:space="preserve">Усложнил программу и дал ей новое название(рис.5).</w:t>
      </w:r>
    </w:p>
    <w:p>
      <w:pPr>
        <w:numPr>
          <w:ilvl w:val="0"/>
          <w:numId w:val="1000"/>
        </w:numPr>
        <w:pStyle w:val="CaptionedFigure"/>
      </w:pPr>
      <w:bookmarkStart w:id="31" w:name="fig:005"/>
      <w:r>
        <w:drawing>
          <wp:inline>
            <wp:extent cx="5334000" cy="3257237"/>
            <wp:effectExtent b="0" l="0" r="0" t="0"/>
            <wp:docPr descr="Figure 5: рис.5. Новая программа" title="" id="1" name="Picture"/>
            <a:graphic>
              <a:graphicData uri="http://schemas.openxmlformats.org/drawingml/2006/picture">
                <pic:pic>
                  <pic:nvPicPr>
                    <pic:cNvPr descr="image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7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numPr>
          <w:ilvl w:val="0"/>
          <w:numId w:val="1000"/>
        </w:numPr>
        <w:pStyle w:val="ImageCaption"/>
      </w:pPr>
      <w:r>
        <w:t xml:space="preserve">Figure 5: рис.5. Новая программа</w:t>
      </w:r>
    </w:p>
    <w:p>
      <w:pPr>
        <w:numPr>
          <w:ilvl w:val="0"/>
          <w:numId w:val="1001"/>
        </w:numPr>
      </w:pPr>
      <w:r>
        <w:t xml:space="preserve">Скомпилировал и запустил новую программу(рис.6).</w:t>
      </w:r>
    </w:p>
    <w:p>
      <w:pPr>
        <w:numPr>
          <w:ilvl w:val="0"/>
          <w:numId w:val="1000"/>
        </w:numPr>
        <w:pStyle w:val="CaptionedFigure"/>
      </w:pPr>
      <w:bookmarkStart w:id="33" w:name="fig:006"/>
      <w:r>
        <w:drawing>
          <wp:inline>
            <wp:extent cx="5334000" cy="979864"/>
            <wp:effectExtent b="0" l="0" r="0" t="0"/>
            <wp:docPr descr="Figure 6: рис.6. Снятие атрибута" title="" id="1" name="Picture"/>
            <a:graphic>
              <a:graphicData uri="http://schemas.openxmlformats.org/drawingml/2006/picture">
                <pic:pic>
                  <pic:nvPicPr>
                    <pic:cNvPr descr="imag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9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numPr>
          <w:ilvl w:val="0"/>
          <w:numId w:val="1000"/>
        </w:numPr>
        <w:pStyle w:val="ImageCaption"/>
      </w:pPr>
      <w:r>
        <w:t xml:space="preserve">Figure 6: рис.6. Снятие атрибута</w:t>
      </w:r>
    </w:p>
    <w:p>
      <w:pPr>
        <w:numPr>
          <w:ilvl w:val="0"/>
          <w:numId w:val="1001"/>
        </w:numPr>
      </w:pPr>
      <w:r>
        <w:t xml:space="preserve">От root выполнил определенные команды, проверил проверку новых атрибутов и запустил программу. Сравнил результаты(рис.7).</w:t>
      </w:r>
    </w:p>
    <w:p>
      <w:pPr>
        <w:numPr>
          <w:ilvl w:val="0"/>
          <w:numId w:val="1000"/>
        </w:numPr>
        <w:pStyle w:val="CaptionedFigure"/>
      </w:pPr>
      <w:bookmarkStart w:id="35" w:name="fig:007"/>
      <w:r>
        <w:drawing>
          <wp:inline>
            <wp:extent cx="5334000" cy="2074333"/>
            <wp:effectExtent b="0" l="0" r="0" t="0"/>
            <wp:docPr descr="Figure 7: рис.7. Выполнение команд" title="" id="1" name="Picture"/>
            <a:graphic>
              <a:graphicData uri="http://schemas.openxmlformats.org/drawingml/2006/picture">
                <pic:pic>
                  <pic:nvPicPr>
                    <pic:cNvPr descr="image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4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numPr>
          <w:ilvl w:val="0"/>
          <w:numId w:val="1000"/>
        </w:numPr>
        <w:pStyle w:val="ImageCaption"/>
      </w:pPr>
      <w:r>
        <w:t xml:space="preserve">Figure 7: рис.7. Выполнение команд</w:t>
      </w:r>
    </w:p>
    <w:p>
      <w:pPr>
        <w:numPr>
          <w:ilvl w:val="0"/>
          <w:numId w:val="1001"/>
        </w:numPr>
      </w:pPr>
      <w:r>
        <w:t xml:space="preserve">Проделал тоже самое относительно SetGID-бита(рис.8).</w:t>
      </w:r>
    </w:p>
    <w:p>
      <w:pPr>
        <w:numPr>
          <w:ilvl w:val="0"/>
          <w:numId w:val="1000"/>
        </w:numPr>
        <w:pStyle w:val="CaptionedFigure"/>
      </w:pPr>
      <w:bookmarkStart w:id="37" w:name="fig:008"/>
      <w:r>
        <w:drawing>
          <wp:inline>
            <wp:extent cx="5334000" cy="1326173"/>
            <wp:effectExtent b="0" l="0" r="0" t="0"/>
            <wp:docPr descr="Figure 8: рис.8. Повторение" title="" id="1" name="Picture"/>
            <a:graphic>
              <a:graphicData uri="http://schemas.openxmlformats.org/drawingml/2006/picture">
                <pic:pic>
                  <pic:nvPicPr>
                    <pic:cNvPr descr="image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6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numPr>
          <w:ilvl w:val="0"/>
          <w:numId w:val="1000"/>
        </w:numPr>
        <w:pStyle w:val="ImageCaption"/>
      </w:pPr>
      <w:r>
        <w:t xml:space="preserve">Figure 8: рис.8. Повторение</w:t>
      </w:r>
    </w:p>
    <w:p>
      <w:pPr>
        <w:numPr>
          <w:ilvl w:val="0"/>
          <w:numId w:val="1001"/>
        </w:numPr>
      </w:pPr>
      <w:r>
        <w:t xml:space="preserve">Создал еще одну программу с названием readfile.c и откомпилировал ее(рис.9-10).</w:t>
      </w:r>
    </w:p>
    <w:p>
      <w:pPr>
        <w:numPr>
          <w:ilvl w:val="0"/>
          <w:numId w:val="1000"/>
        </w:numPr>
        <w:pStyle w:val="CaptionedFigure"/>
      </w:pPr>
      <w:bookmarkStart w:id="39" w:name="fig:009"/>
      <w:r>
        <w:drawing>
          <wp:inline>
            <wp:extent cx="5334000" cy="3639152"/>
            <wp:effectExtent b="0" l="0" r="0" t="0"/>
            <wp:docPr descr="Figure 9: рис.9. readfile.c" title="" id="1" name="Picture"/>
            <a:graphic>
              <a:graphicData uri="http://schemas.openxmlformats.org/drawingml/2006/picture">
                <pic:pic>
                  <pic:nvPicPr>
                    <pic:cNvPr descr="image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9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numPr>
          <w:ilvl w:val="0"/>
          <w:numId w:val="1000"/>
        </w:numPr>
        <w:pStyle w:val="ImageCaption"/>
      </w:pPr>
      <w:r>
        <w:t xml:space="preserve">Figure 9: рис.9. readfile.c</w:t>
      </w:r>
    </w:p>
    <w:p>
      <w:pPr>
        <w:numPr>
          <w:ilvl w:val="0"/>
          <w:numId w:val="1000"/>
        </w:numPr>
        <w:pStyle w:val="CaptionedFigure"/>
      </w:pPr>
      <w:bookmarkStart w:id="41" w:name="fig:010"/>
      <w:r>
        <w:drawing>
          <wp:inline>
            <wp:extent cx="5062888" cy="3214837"/>
            <wp:effectExtent b="0" l="0" r="0" t="0"/>
            <wp:docPr descr="Figure 10: рис.10. Компиляция" title="" id="1" name="Picture"/>
            <a:graphic>
              <a:graphicData uri="http://schemas.openxmlformats.org/drawingml/2006/picture">
                <pic:pic>
                  <pic:nvPicPr>
                    <pic:cNvPr descr="image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888" cy="3214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numPr>
          <w:ilvl w:val="0"/>
          <w:numId w:val="1000"/>
        </w:numPr>
        <w:pStyle w:val="ImageCaption"/>
      </w:pPr>
      <w:r>
        <w:t xml:space="preserve">Figure 10: рис.10. Компиляция</w:t>
      </w:r>
    </w:p>
    <w:p>
      <w:pPr>
        <w:numPr>
          <w:ilvl w:val="0"/>
          <w:numId w:val="1001"/>
        </w:numPr>
      </w:pPr>
      <w:r>
        <w:t xml:space="preserve">Сменил владельца у файла и изменил права. Убедился, что смена прошла успешно(рис.11).</w:t>
      </w:r>
    </w:p>
    <w:p>
      <w:pPr>
        <w:numPr>
          <w:ilvl w:val="0"/>
          <w:numId w:val="1000"/>
        </w:numPr>
        <w:pStyle w:val="CaptionedFigure"/>
      </w:pPr>
      <w:bookmarkStart w:id="43" w:name="fig:011"/>
      <w:r>
        <w:drawing>
          <wp:inline>
            <wp:extent cx="5334000" cy="895684"/>
            <wp:effectExtent b="0" l="0" r="0" t="0"/>
            <wp:docPr descr="Figure 11: рис.11. Права" title="" id="1" name="Picture"/>
            <a:graphic>
              <a:graphicData uri="http://schemas.openxmlformats.org/drawingml/2006/picture">
                <pic:pic>
                  <pic:nvPicPr>
                    <pic:cNvPr descr="image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5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numPr>
          <w:ilvl w:val="0"/>
          <w:numId w:val="1000"/>
        </w:numPr>
        <w:pStyle w:val="ImageCaption"/>
      </w:pPr>
      <w:r>
        <w:t xml:space="preserve">Figure 11: рис.11. Права</w:t>
      </w:r>
    </w:p>
    <w:p>
      <w:pPr>
        <w:numPr>
          <w:ilvl w:val="0"/>
          <w:numId w:val="1001"/>
        </w:numPr>
      </w:pPr>
      <w:r>
        <w:t xml:space="preserve">Сменил владельца и поставил SetU’D-бит. Таким образом смог прочитать файл и прочитать shadow(рис.12-13).</w:t>
      </w:r>
    </w:p>
    <w:p>
      <w:pPr>
        <w:pStyle w:val="CaptionedFigure"/>
      </w:pPr>
      <w:bookmarkStart w:id="45" w:name="fig:012"/>
      <w:r>
        <w:drawing>
          <wp:inline>
            <wp:extent cx="5334000" cy="2957681"/>
            <wp:effectExtent b="0" l="0" r="0" t="0"/>
            <wp:docPr descr="Figure 12: рис.12. Настройка" title="" id="1" name="Picture"/>
            <a:graphic>
              <a:graphicData uri="http://schemas.openxmlformats.org/drawingml/2006/picture">
                <pic:pic>
                  <pic:nvPicPr>
                    <pic:cNvPr descr="images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7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рис.12. Настройка</w:t>
      </w:r>
    </w:p>
    <w:p>
      <w:pPr>
        <w:pStyle w:val="CaptionedFigure"/>
      </w:pPr>
      <w:bookmarkStart w:id="47" w:name="fig:013"/>
      <w:r>
        <w:drawing>
          <wp:inline>
            <wp:extent cx="5334000" cy="2645258"/>
            <wp:effectExtent b="0" l="0" r="0" t="0"/>
            <wp:docPr descr="Figure 13: рис.13. Shadow" title="" id="1" name="Picture"/>
            <a:graphic>
              <a:graphicData uri="http://schemas.openxmlformats.org/drawingml/2006/picture">
                <pic:pic>
                  <pic:nvPicPr>
                    <pic:cNvPr descr="images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5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рис.13. Shadow</w:t>
      </w:r>
    </w:p>
    <w:p>
      <w:pPr>
        <w:numPr>
          <w:ilvl w:val="0"/>
          <w:numId w:val="1002"/>
        </w:numPr>
        <w:pStyle w:val="Compact"/>
      </w:pPr>
      <w:r>
        <w:t xml:space="preserve">Проверил атрибут Sticky, создал файл file01.txt со словом, посмотрел атрибуты и разрешил запись для всех остальных пользователей(рис.14).</w:t>
      </w:r>
    </w:p>
    <w:p>
      <w:pPr>
        <w:pStyle w:val="CaptionedFigure"/>
      </w:pPr>
      <w:bookmarkStart w:id="49" w:name="fig:014"/>
      <w:r>
        <w:drawing>
          <wp:inline>
            <wp:extent cx="5334000" cy="1882150"/>
            <wp:effectExtent b="0" l="0" r="0" t="0"/>
            <wp:docPr descr="Figure 14: рис.14. Работа с файлами" title="" id="1" name="Picture"/>
            <a:graphic>
              <a:graphicData uri="http://schemas.openxmlformats.org/drawingml/2006/picture">
                <pic:pic>
                  <pic:nvPicPr>
                    <pic:cNvPr descr="images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2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рис.14. Работа с файлами</w:t>
      </w:r>
    </w:p>
    <w:p>
      <w:pPr>
        <w:numPr>
          <w:ilvl w:val="0"/>
          <w:numId w:val="1003"/>
        </w:numPr>
        <w:pStyle w:val="Compact"/>
      </w:pPr>
      <w:r>
        <w:t xml:space="preserve">Выполнил ряд команд от пользователя Guest2. Не удалось выполнить команду rm(рис.15).</w:t>
      </w:r>
    </w:p>
    <w:p>
      <w:pPr>
        <w:pStyle w:val="CaptionedFigure"/>
      </w:pPr>
      <w:bookmarkStart w:id="51" w:name="fig:015"/>
      <w:r>
        <w:drawing>
          <wp:inline>
            <wp:extent cx="5334000" cy="2195916"/>
            <wp:effectExtent b="0" l="0" r="0" t="0"/>
            <wp:docPr descr="Figure 15: рис.15. Guest2" title="" id="1" name="Picture"/>
            <a:graphic>
              <a:graphicData uri="http://schemas.openxmlformats.org/drawingml/2006/picture">
                <pic:pic>
                  <pic:nvPicPr>
                    <pic:cNvPr descr="images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5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15: рис.15. Guest2</w:t>
      </w:r>
    </w:p>
    <w:p>
      <w:pPr>
        <w:numPr>
          <w:ilvl w:val="0"/>
          <w:numId w:val="1004"/>
        </w:numPr>
        <w:pStyle w:val="Compact"/>
      </w:pPr>
      <w:r>
        <w:t xml:space="preserve">Снял атрибут t, проверил, что атрибут снят, и успешно выполнил программу rm(рис.16).</w:t>
      </w:r>
    </w:p>
    <w:p>
      <w:pPr>
        <w:pStyle w:val="CaptionedFigure"/>
      </w:pPr>
      <w:bookmarkStart w:id="53" w:name="fig:016"/>
      <w:r>
        <w:drawing>
          <wp:inline>
            <wp:extent cx="5334000" cy="4508582"/>
            <wp:effectExtent b="0" l="0" r="0" t="0"/>
            <wp:docPr descr="Figure 16: рис.16. Выполнил команду" title="" id="1" name="Picture"/>
            <a:graphic>
              <a:graphicData uri="http://schemas.openxmlformats.org/drawingml/2006/picture">
                <pic:pic>
                  <pic:nvPicPr>
                    <pic:cNvPr descr="images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8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16: рис.16. Выполнил команду</w:t>
      </w:r>
    </w:p>
    <w:p>
      <w:pPr>
        <w:numPr>
          <w:ilvl w:val="0"/>
          <w:numId w:val="1005"/>
        </w:numPr>
        <w:pStyle w:val="Compact"/>
      </w:pPr>
      <w:r>
        <w:t xml:space="preserve">Вернул атрибут t(рис.17).</w:t>
      </w:r>
    </w:p>
    <w:p>
      <w:pPr>
        <w:pStyle w:val="CaptionedFigure"/>
      </w:pPr>
      <w:bookmarkStart w:id="55" w:name="fig:017"/>
      <w:r>
        <w:drawing>
          <wp:inline>
            <wp:extent cx="5334000" cy="1807882"/>
            <wp:effectExtent b="0" l="0" r="0" t="0"/>
            <wp:docPr descr="Figure 17: рис.17. Возвращение атрибута" title="" id="1" name="Picture"/>
            <a:graphic>
              <a:graphicData uri="http://schemas.openxmlformats.org/drawingml/2006/picture">
                <pic:pic>
                  <pic:nvPicPr>
                    <pic:cNvPr descr="images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7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17: рис.17. Возвращение атрибута</w:t>
      </w:r>
    </w:p>
    <w:bookmarkEnd w:id="56"/>
    <w:bookmarkStart w:id="5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Изученил механизмы изменения идентификаторов, применения SetUID- и Sticky-битов. Полученил практические навыки работы в консоли с дополнительными атрибутами. Рассмотрел работы механизма смены идентификатора процессов пользователей, а также влияние бита Sticky на запись и удаление файлов.</w:t>
      </w:r>
    </w:p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0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0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</dc:title>
  <dc:creator>Кочетов Андрей Владимирович</dc:creator>
  <dc:language>ru-RU</dc:language>
  <cp:keywords/>
  <dcterms:created xsi:type="dcterms:W3CDTF">2021-11-13T17:59:41Z</dcterms:created>
  <dcterms:modified xsi:type="dcterms:W3CDTF">2021-11-13T17:59:41Z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equationNumberTeX">
    <vt:lpwstr>qquad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">
    <vt:lpwstr>True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">
    <vt:lpwstr>True</vt:lpwstr>
  </property>
  <property fmtid="{D5CDD505-2E9C-101B-9397-08002B2CF9AE}" pid="36" name="lotTitle">
    <vt:lpwstr>List of Tables</vt:lpwstr>
  </property>
  <property fmtid="{D5CDD505-2E9C-101B-9397-08002B2CF9AE}" pid="37" name="lstLabels">
    <vt:lpwstr>arabic</vt:lpwstr>
  </property>
  <property fmtid="{D5CDD505-2E9C-101B-9397-08002B2CF9AE}" pid="38" name="lstPrefix">
    <vt:lpwstr/>
  </property>
  <property fmtid="{D5CDD505-2E9C-101B-9397-08002B2CF9AE}" pid="39" name="lstPrefixTemplate">
    <vt:lpwstr>p i</vt:lpwstr>
  </property>
  <property fmtid="{D5CDD505-2E9C-101B-9397-08002B2CF9AE}" pid="40" name="mainfont">
    <vt:lpwstr>LiberationSerif</vt:lpwstr>
  </property>
  <property fmtid="{D5CDD505-2E9C-101B-9397-08002B2CF9AE}" pid="41" name="mainfontoptions">
    <vt:lpwstr>Ligatures=TeX</vt:lpwstr>
  </property>
  <property fmtid="{D5CDD505-2E9C-101B-9397-08002B2CF9AE}" pid="42" name="monofont">
    <vt:lpwstr>LiberationMono</vt:lpwstr>
  </property>
  <property fmtid="{D5CDD505-2E9C-101B-9397-08002B2CF9AE}" pid="43" name="monofontoptions">
    <vt:lpwstr>Scale=MatchLowercase</vt:lpwstr>
  </property>
  <property fmtid="{D5CDD505-2E9C-101B-9397-08002B2CF9AE}" pid="44" name="nameInLink">
    <vt:lpwstr>False</vt:lpwstr>
  </property>
  <property fmtid="{D5CDD505-2E9C-101B-9397-08002B2CF9AE}" pid="45" name="numberSections">
    <vt:lpwstr>False</vt:lpwstr>
  </property>
  <property fmtid="{D5CDD505-2E9C-101B-9397-08002B2CF9AE}" pid="46" name="pairDelim">
    <vt:lpwstr>, </vt:lpwstr>
  </property>
  <property fmtid="{D5CDD505-2E9C-101B-9397-08002B2CF9AE}" pid="47" name="papersize">
    <vt:lpwstr>a4paper</vt:lpwstr>
  </property>
  <property fmtid="{D5CDD505-2E9C-101B-9397-08002B2CF9AE}" pid="48" name="pdf-engine">
    <vt:lpwstr>lualatex</vt:lpwstr>
  </property>
  <property fmtid="{D5CDD505-2E9C-101B-9397-08002B2CF9AE}" pid="49" name="polyglossia-lang">
    <vt:lpwstr>russian</vt:lpwstr>
  </property>
  <property fmtid="{D5CDD505-2E9C-101B-9397-08002B2CF9AE}" pid="50" name="polyglossia-otherlangs">
    <vt:lpwstr>english</vt:lpwstr>
  </property>
  <property fmtid="{D5CDD505-2E9C-101B-9397-08002B2CF9AE}" pid="51" name="rangeDelim">
    <vt:lpwstr>-</vt:lpwstr>
  </property>
  <property fmtid="{D5CDD505-2E9C-101B-9397-08002B2CF9AE}" pid="52" name="refDelim">
    <vt:lpwstr>, </vt:lpwstr>
  </property>
  <property fmtid="{D5CDD505-2E9C-101B-9397-08002B2CF9AE}" pid="53" name="refIndexTemplate">
    <vt:lpwstr>isuf</vt:lpwstr>
  </property>
  <property fmtid="{D5CDD505-2E9C-101B-9397-08002B2CF9AE}" pid="54" name="romanfont">
    <vt:lpwstr>LiberationSerif</vt:lpwstr>
  </property>
  <property fmtid="{D5CDD505-2E9C-101B-9397-08002B2CF9AE}" pid="55" name="romanfontoptions">
    <vt:lpwstr>Ligatures=TeX</vt:lpwstr>
  </property>
  <property fmtid="{D5CDD505-2E9C-101B-9397-08002B2CF9AE}" pid="56" name="sansfont">
    <vt:lpwstr>LiberationSans</vt:lpwstr>
  </property>
  <property fmtid="{D5CDD505-2E9C-101B-9397-08002B2CF9AE}" pid="57" name="sansfontoptions">
    <vt:lpwstr>Ligatures=TeX,Scale=MatchLowercase</vt:lpwstr>
  </property>
  <property fmtid="{D5CDD505-2E9C-101B-9397-08002B2CF9AE}" pid="58" name="secHeaderDelim">
    <vt:lpwstr> </vt:lpwstr>
  </property>
  <property fmtid="{D5CDD505-2E9C-101B-9397-08002B2CF9AE}" pid="59" name="secHeaderTemplate">
    <vt:lpwstr>isecHeaderDelim[n]t</vt:lpwstr>
  </property>
  <property fmtid="{D5CDD505-2E9C-101B-9397-08002B2CF9AE}" pid="60" name="secLabels">
    <vt:lpwstr>arabic</vt:lpwstr>
  </property>
  <property fmtid="{D5CDD505-2E9C-101B-9397-08002B2CF9AE}" pid="61" name="secPrefix">
    <vt:lpwstr/>
  </property>
  <property fmtid="{D5CDD505-2E9C-101B-9397-08002B2CF9AE}" pid="62" name="secPrefixTemplate">
    <vt:lpwstr>p i</vt:lpwstr>
  </property>
  <property fmtid="{D5CDD505-2E9C-101B-9397-08002B2CF9AE}" pid="63" name="sectionsDepth">
    <vt:lpwstr>0</vt:lpwstr>
  </property>
  <property fmtid="{D5CDD505-2E9C-101B-9397-08002B2CF9AE}" pid="64" name="subfigGrid">
    <vt:lpwstr>False</vt:lpwstr>
  </property>
  <property fmtid="{D5CDD505-2E9C-101B-9397-08002B2CF9AE}" pid="65" name="subfigLabels">
    <vt:lpwstr>alpha a</vt:lpwstr>
  </property>
  <property fmtid="{D5CDD505-2E9C-101B-9397-08002B2CF9AE}" pid="66" name="subfigureChildTemplate">
    <vt:lpwstr>i</vt:lpwstr>
  </property>
  <property fmtid="{D5CDD505-2E9C-101B-9397-08002B2CF9AE}" pid="67" name="subfigureRefIndexTemplate">
    <vt:lpwstr>isuf (s)</vt:lpwstr>
  </property>
  <property fmtid="{D5CDD505-2E9C-101B-9397-08002B2CF9AE}" pid="68" name="subfigureTemplate">
    <vt:lpwstr>figureTitle ititleDelim t. ccs</vt:lpwstr>
  </property>
  <property fmtid="{D5CDD505-2E9C-101B-9397-08002B2CF9AE}" pid="69" name="subtitle">
    <vt:lpwstr>по лабораторной работе 5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