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Кочетов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Работа с сервером apach и настройка портов.</w:t>
      </w:r>
    </w:p>
    <w:bookmarkEnd w:id="21"/>
    <w:bookmarkStart w:id="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Проверил режим работы SElinux при помощи 2 команд(рис.1).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3289788"/>
            <wp:effectExtent b="0" l="0" r="0" t="0"/>
            <wp:docPr descr="Figure 1: рис.1. Режимы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Режимы</w:t>
      </w:r>
    </w:p>
    <w:p>
      <w:pPr>
        <w:numPr>
          <w:ilvl w:val="0"/>
          <w:numId w:val="1001"/>
        </w:numPr>
      </w:pPr>
      <w:r>
        <w:t xml:space="preserve">Запустил сервер и проверил его рабоспособность(рис.2).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3639152"/>
            <wp:effectExtent b="0" l="0" r="0" t="0"/>
            <wp:docPr descr="Figure 2: рис.2. Запуск сервера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Запуск сервера</w:t>
      </w:r>
    </w:p>
    <w:p>
      <w:pPr>
        <w:numPr>
          <w:ilvl w:val="0"/>
          <w:numId w:val="1001"/>
        </w:numPr>
      </w:pPr>
      <w:r>
        <w:t xml:space="preserve">Нашел веб-сервер Apache в списке процессов(рис.3).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3619500"/>
            <wp:effectExtent b="0" l="0" r="0" t="0"/>
            <wp:docPr descr="Figure 3: рис.3. Процессы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рис.3. Процессы</w:t>
      </w:r>
    </w:p>
    <w:p>
      <w:pPr>
        <w:numPr>
          <w:ilvl w:val="0"/>
          <w:numId w:val="1001"/>
        </w:numPr>
      </w:pPr>
      <w:r>
        <w:t xml:space="preserve">Посмотрел текущее состояние переключателей SELinux для Apache(рис.4).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3658859"/>
            <wp:effectExtent b="0" l="0" r="0" t="0"/>
            <wp:docPr descr="Figure 4: рис.4. Состояние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рис.4. Состояние</w:t>
      </w:r>
    </w:p>
    <w:p>
      <w:pPr>
        <w:numPr>
          <w:ilvl w:val="0"/>
          <w:numId w:val="1001"/>
        </w:numPr>
      </w:pPr>
      <w:r>
        <w:t xml:space="preserve">Посмотрел статистику по политике, тип файлов и поддиректорий и тип файлов, находящихся в другой директории(рис.5).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3636485"/>
            <wp:effectExtent b="0" l="0" r="0" t="0"/>
            <wp:docPr descr="Figure 5: рис.5. Статистика и типы файлов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рис.5. Статистика и типы файлов</w:t>
      </w:r>
    </w:p>
    <w:p>
      <w:pPr>
        <w:numPr>
          <w:ilvl w:val="0"/>
          <w:numId w:val="1001"/>
        </w:numPr>
      </w:pPr>
      <w:r>
        <w:t xml:space="preserve">Создал html-файл, проверил контекст файла(рис.6).</w:t>
      </w:r>
    </w:p>
    <w:p>
      <w:pPr>
        <w:numPr>
          <w:ilvl w:val="0"/>
          <w:numId w:val="1000"/>
        </w:numPr>
        <w:pStyle w:val="CaptionedFigure"/>
      </w:pPr>
      <w:bookmarkStart w:id="33" w:name="fig:006"/>
      <w:r>
        <w:drawing>
          <wp:inline>
            <wp:extent cx="5334000" cy="3626826"/>
            <wp:effectExtent b="0" l="0" r="0" t="0"/>
            <wp:docPr descr="Figure 6: рис.6.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6: рис.6. Создание файла</w:t>
      </w:r>
    </w:p>
    <w:p>
      <w:pPr>
        <w:numPr>
          <w:ilvl w:val="0"/>
          <w:numId w:val="1001"/>
        </w:numPr>
      </w:pPr>
      <w:r>
        <w:t xml:space="preserve">Обратился к файлу через веб-сервер(рис.7).</w:t>
      </w:r>
    </w:p>
    <w:p>
      <w:pPr>
        <w:numPr>
          <w:ilvl w:val="0"/>
          <w:numId w:val="1000"/>
        </w:numPr>
        <w:pStyle w:val="CaptionedFigure"/>
      </w:pPr>
      <w:bookmarkStart w:id="35" w:name="fig:007"/>
      <w:r>
        <w:drawing>
          <wp:inline>
            <wp:extent cx="5334000" cy="2560755"/>
            <wp:effectExtent b="0" l="0" r="0" t="0"/>
            <wp:docPr descr="Figure 7: рис.7. Файл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7: рис.7. Файл</w:t>
      </w:r>
    </w:p>
    <w:p>
      <w:pPr>
        <w:numPr>
          <w:ilvl w:val="0"/>
          <w:numId w:val="1001"/>
        </w:numPr>
      </w:pPr>
      <w:r>
        <w:t xml:space="preserve">Проверил контекст командой ls -Z, изменил контекст на другой, убедился в смене и проверил работоспособность веб-сервера (рис.8).</w:t>
      </w:r>
    </w:p>
    <w:p>
      <w:pPr>
        <w:numPr>
          <w:ilvl w:val="0"/>
          <w:numId w:val="1000"/>
        </w:numPr>
        <w:pStyle w:val="CaptionedFigure"/>
      </w:pPr>
      <w:bookmarkStart w:id="37" w:name="fig:008"/>
      <w:r>
        <w:drawing>
          <wp:inline>
            <wp:extent cx="5334000" cy="3241192"/>
            <wp:effectExtent b="0" l="0" r="0" t="0"/>
            <wp:docPr descr="Figure 8: рис.8. Смена контекста и тест веб-сервера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8: рис.8. Смена контекста и тест веб-сервера</w:t>
      </w:r>
    </w:p>
    <w:p>
      <w:pPr>
        <w:numPr>
          <w:ilvl w:val="0"/>
          <w:numId w:val="1001"/>
        </w:numPr>
      </w:pPr>
      <w:r>
        <w:t xml:space="preserve">Проанализировал ситуацию и посмотрел логи(рис.9).</w:t>
      </w:r>
    </w:p>
    <w:p>
      <w:pPr>
        <w:numPr>
          <w:ilvl w:val="0"/>
          <w:numId w:val="1000"/>
        </w:numPr>
        <w:pStyle w:val="CaptionedFigure"/>
      </w:pPr>
      <w:bookmarkStart w:id="39" w:name="fig:009"/>
      <w:r>
        <w:drawing>
          <wp:inline>
            <wp:extent cx="5334000" cy="3618980"/>
            <wp:effectExtent b="0" l="0" r="0" t="0"/>
            <wp:docPr descr="Figure 9: рис.9. Анализ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9: рис.9. Анализ</w:t>
      </w:r>
    </w:p>
    <w:p>
      <w:pPr>
        <w:numPr>
          <w:ilvl w:val="0"/>
          <w:numId w:val="1001"/>
        </w:numPr>
      </w:pPr>
      <w:r>
        <w:t xml:space="preserve">Сменил порт на ТСР-порт 81(рис.10).</w:t>
      </w:r>
    </w:p>
    <w:p>
      <w:pPr>
        <w:pStyle w:val="CaptionedFigure"/>
      </w:pPr>
      <w:bookmarkStart w:id="41" w:name="fig:010"/>
      <w:r>
        <w:drawing>
          <wp:inline>
            <wp:extent cx="5334000" cy="3175143"/>
            <wp:effectExtent b="0" l="0" r="0" t="0"/>
            <wp:docPr descr="Figure 10: рис.10. Смена порта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рис.10. Смена порта</w:t>
      </w:r>
    </w:p>
    <w:p>
      <w:pPr>
        <w:numPr>
          <w:ilvl w:val="0"/>
          <w:numId w:val="1002"/>
        </w:numPr>
        <w:pStyle w:val="Compact"/>
      </w:pPr>
      <w:r>
        <w:t xml:space="preserve">Выполнил перезапуск сервера и увидел сбой(рис.11).</w:t>
      </w:r>
    </w:p>
    <w:p>
      <w:pPr>
        <w:pStyle w:val="CaptionedFigure"/>
      </w:pPr>
      <w:bookmarkStart w:id="43" w:name="fig:011"/>
      <w:r>
        <w:drawing>
          <wp:inline>
            <wp:extent cx="5334000" cy="2057879"/>
            <wp:effectExtent b="0" l="0" r="0" t="0"/>
            <wp:docPr descr="Figure 11: рис.11. Сбой сервера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рис.11. Сбой сервера</w:t>
      </w:r>
    </w:p>
    <w:p>
      <w:pPr>
        <w:numPr>
          <w:ilvl w:val="0"/>
          <w:numId w:val="1003"/>
        </w:numPr>
        <w:pStyle w:val="Compact"/>
      </w:pPr>
      <w:r>
        <w:t xml:space="preserve">Проанализировал log-файлы(рис.12).</w:t>
      </w:r>
    </w:p>
    <w:p>
      <w:pPr>
        <w:pStyle w:val="CaptionedFigure"/>
      </w:pPr>
      <w:bookmarkStart w:id="45" w:name="fig:012"/>
      <w:r>
        <w:drawing>
          <wp:inline>
            <wp:extent cx="5334000" cy="3553567"/>
            <wp:effectExtent b="0" l="0" r="0" t="0"/>
            <wp:docPr descr="Figure 12: рис.12. Логи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рис.12. Логи</w:t>
      </w:r>
    </w:p>
    <w:p>
      <w:pPr>
        <w:numPr>
          <w:ilvl w:val="0"/>
          <w:numId w:val="1004"/>
        </w:numPr>
        <w:pStyle w:val="Compact"/>
      </w:pPr>
      <w:r>
        <w:t xml:space="preserve">Выполнил программу semanage и проверил список портов, где увидел порт 81 в списке(рис.13).</w:t>
      </w:r>
    </w:p>
    <w:p>
      <w:pPr>
        <w:pStyle w:val="CaptionedFigure"/>
      </w:pPr>
      <w:bookmarkStart w:id="47" w:name="fig:013"/>
      <w:r>
        <w:drawing>
          <wp:inline>
            <wp:extent cx="5334000" cy="3663906"/>
            <wp:effectExtent b="0" l="0" r="0" t="0"/>
            <wp:docPr descr="Figure 13: рис.13. Semanage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рис.13. Semanage</w:t>
      </w:r>
    </w:p>
    <w:p>
      <w:pPr>
        <w:numPr>
          <w:ilvl w:val="0"/>
          <w:numId w:val="1005"/>
        </w:numPr>
        <w:pStyle w:val="Compact"/>
      </w:pPr>
      <w:r>
        <w:t xml:space="preserve">Снова зашел на сервер и увидел, что он работает. Вернул контекст и listen 80, и удалил привязку к 81(рис.14).</w:t>
      </w:r>
    </w:p>
    <w:p>
      <w:pPr>
        <w:pStyle w:val="CaptionedFigure"/>
      </w:pPr>
      <w:bookmarkStart w:id="49" w:name="fig:014"/>
      <w:r>
        <w:drawing>
          <wp:inline>
            <wp:extent cx="5334000" cy="2794385"/>
            <wp:effectExtent b="0" l="0" r="0" t="0"/>
            <wp:docPr descr="Figure 14: рис.14. Работа с командами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рис.14. Работа с командами</w:t>
      </w:r>
    </w:p>
    <w:p>
      <w:pPr>
        <w:numPr>
          <w:ilvl w:val="0"/>
          <w:numId w:val="1006"/>
        </w:numPr>
        <w:pStyle w:val="Compact"/>
      </w:pPr>
      <w:r>
        <w:t xml:space="preserve">Удалил файл test.html(рис.15).</w:t>
      </w:r>
    </w:p>
    <w:p>
      <w:pPr>
        <w:pStyle w:val="CaptionedFigure"/>
      </w:pPr>
      <w:bookmarkStart w:id="51" w:name="fig:015"/>
      <w:r>
        <w:drawing>
          <wp:inline>
            <wp:extent cx="5334000" cy="1053538"/>
            <wp:effectExtent b="0" l="0" r="0" t="0"/>
            <wp:docPr descr="Figure 15: рис.15. Удаление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рис.15. Удаление</w:t>
      </w:r>
    </w:p>
    <w:bookmarkEnd w:id="52"/>
    <w:bookmarkStart w:id="5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Развил навыки администрирования ОС Linux. Получил первое практическое знакомство с технологией SELinux1.</w:t>
      </w:r>
      <w:r>
        <w:t xml:space="preserve"> </w:t>
      </w:r>
      <w:r>
        <w:t xml:space="preserve">Проверил работу SELinx на практике совместно с веб-сервером Apache.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Кочетов Андрей Владимирович</dc:creator>
  <dc:language>ru-RU</dc:language>
  <cp:keywords/>
  <dcterms:created xsi:type="dcterms:W3CDTF">2021-11-27T10:24:20Z</dcterms:created>
  <dcterms:modified xsi:type="dcterms:W3CDTF">2021-11-27T10:24:20Z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LiberationSerif</vt:lpwstr>
  </property>
  <property fmtid="{D5CDD505-2E9C-101B-9397-08002B2CF9AE}" pid="41" name="mainfontoptions">
    <vt:lpwstr>Ligatures=TeX</vt:lpwstr>
  </property>
  <property fmtid="{D5CDD505-2E9C-101B-9397-08002B2CF9AE}" pid="42" name="monofont">
    <vt:lpwstr>LiberationMono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LiberationSerif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LiberationSans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по лабораторной работе 6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