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</w:p>
    <w:p>
      <w:pPr>
        <w:pStyle w:val="Subtitle"/>
      </w:pP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7</w:t>
      </w:r>
    </w:p>
    <w:p>
      <w:pPr>
        <w:pStyle w:val="Author"/>
      </w:pPr>
      <w:r>
        <w:t xml:space="preserve">Кочетов</w:t>
      </w:r>
      <w:r>
        <w:t xml:space="preserve"> </w:t>
      </w:r>
      <w:r>
        <w:t xml:space="preserve">Андрей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Освоить на практике применение режима однократного гаммирования.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Написание программы.</w:t>
      </w:r>
    </w:p>
    <w:bookmarkEnd w:id="21"/>
    <w:bookmarkStart w:id="2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Выбрал язык программирования(Python) и начал писать программу(рис.1).</w:t>
      </w:r>
    </w:p>
    <w:p>
      <w:pPr>
        <w:numPr>
          <w:ilvl w:val="0"/>
          <w:numId w:val="1000"/>
        </w:numPr>
        <w:pStyle w:val="CaptionedFigure"/>
      </w:pPr>
      <w:bookmarkStart w:id="23" w:name="fig:001"/>
      <w:r>
        <w:drawing>
          <wp:inline>
            <wp:extent cx="5334000" cy="2472133"/>
            <wp:effectExtent b="0" l="0" r="0" t="0"/>
            <wp:docPr descr="Figure 1: рис.1. Начало" title="" id="1" name="Picture"/>
            <a:graphic>
              <a:graphicData uri="http://schemas.openxmlformats.org/drawingml/2006/picture">
                <pic:pic>
                  <pic:nvPicPr>
                    <pic:cNvPr descr="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2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numPr>
          <w:ilvl w:val="0"/>
          <w:numId w:val="1000"/>
        </w:numPr>
        <w:pStyle w:val="ImageCaption"/>
      </w:pPr>
      <w:r>
        <w:t xml:space="preserve">Figure 1: рис.1. Начало</w:t>
      </w:r>
    </w:p>
    <w:p>
      <w:pPr>
        <w:numPr>
          <w:ilvl w:val="0"/>
          <w:numId w:val="1001"/>
        </w:numPr>
      </w:pPr>
      <w:r>
        <w:t xml:space="preserve">Написал основую часть программы и получил закодированную строку, а также еще в шестнадцатеричной системе(рис.2).</w:t>
      </w:r>
    </w:p>
    <w:p>
      <w:pPr>
        <w:numPr>
          <w:ilvl w:val="0"/>
          <w:numId w:val="1000"/>
        </w:numPr>
        <w:pStyle w:val="CaptionedFigure"/>
      </w:pPr>
      <w:bookmarkStart w:id="25" w:name="fig:002"/>
      <w:r>
        <w:drawing>
          <wp:inline>
            <wp:extent cx="5334000" cy="2998716"/>
            <wp:effectExtent b="0" l="0" r="0" t="0"/>
            <wp:docPr descr="Figure 2: рис.2. Строка" title="" id="1" name="Picture"/>
            <a:graphic>
              <a:graphicData uri="http://schemas.openxmlformats.org/drawingml/2006/picture">
                <pic:pic>
                  <pic:nvPicPr>
                    <pic:cNvPr descr="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numPr>
          <w:ilvl w:val="0"/>
          <w:numId w:val="1000"/>
        </w:numPr>
        <w:pStyle w:val="ImageCaption"/>
      </w:pPr>
      <w:r>
        <w:t xml:space="preserve">Figure 2: рис.2. Строка</w:t>
      </w:r>
    </w:p>
    <w:p>
      <w:pPr>
        <w:numPr>
          <w:ilvl w:val="0"/>
          <w:numId w:val="1001"/>
        </w:numPr>
      </w:pPr>
      <w:r>
        <w:t xml:space="preserve">Вывел ключи и декодированную строку(рис.3).</w:t>
      </w:r>
    </w:p>
    <w:p>
      <w:pPr>
        <w:numPr>
          <w:ilvl w:val="0"/>
          <w:numId w:val="1000"/>
        </w:numPr>
        <w:pStyle w:val="CaptionedFigure"/>
      </w:pPr>
      <w:bookmarkStart w:id="27" w:name="fig:003"/>
      <w:r>
        <w:drawing>
          <wp:inline>
            <wp:extent cx="5334000" cy="2255821"/>
            <wp:effectExtent b="0" l="0" r="0" t="0"/>
            <wp:docPr descr="Figure 3: рис.3. Конец" title="" id="1" name="Picture"/>
            <a:graphic>
              <a:graphicData uri="http://schemas.openxmlformats.org/drawingml/2006/picture">
                <pic:pic>
                  <pic:nvPicPr>
                    <pic:cNvPr descr="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5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numPr>
          <w:ilvl w:val="0"/>
          <w:numId w:val="1000"/>
        </w:numPr>
        <w:pStyle w:val="ImageCaption"/>
      </w:pPr>
      <w:r>
        <w:t xml:space="preserve">Figure 3: рис.3. Конец</w:t>
      </w:r>
    </w:p>
    <w:bookmarkEnd w:id="28"/>
    <w:bookmarkStart w:id="2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Освоил на практике применение режима однократного гаммирования.</w:t>
      </w:r>
    </w:p>
    <w:bookmarkEnd w:id="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</dc:title>
  <dc:creator>Кочетов Андрей Владимирович</dc:creator>
  <dc:language>ru-RU</dc:language>
  <cp:keywords/>
  <dcterms:created xsi:type="dcterms:W3CDTF">2021-12-11T15:10:22Z</dcterms:created>
  <dcterms:modified xsi:type="dcterms:W3CDTF">2021-12-11T15:10:22Z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">
    <vt:lpwstr>True</vt:lpwstr>
  </property>
  <property fmtid="{D5CDD505-2E9C-101B-9397-08002B2CF9AE}" pid="36" name="lotTitle">
    <vt:lpwstr>List of Tables</vt:lpwstr>
  </property>
  <property fmtid="{D5CDD505-2E9C-101B-9397-08002B2CF9AE}" pid="37" name="lstLabels">
    <vt:lpwstr>arabic</vt:lpwstr>
  </property>
  <property fmtid="{D5CDD505-2E9C-101B-9397-08002B2CF9AE}" pid="38" name="lstPrefix">
    <vt:lpwstr/>
  </property>
  <property fmtid="{D5CDD505-2E9C-101B-9397-08002B2CF9AE}" pid="39" name="lstPrefixTemplate">
    <vt:lpwstr>p i</vt:lpwstr>
  </property>
  <property fmtid="{D5CDD505-2E9C-101B-9397-08002B2CF9AE}" pid="40" name="mainfont">
    <vt:lpwstr>LiberationSerif</vt:lpwstr>
  </property>
  <property fmtid="{D5CDD505-2E9C-101B-9397-08002B2CF9AE}" pid="41" name="mainfontoptions">
    <vt:lpwstr>Ligatures=TeX</vt:lpwstr>
  </property>
  <property fmtid="{D5CDD505-2E9C-101B-9397-08002B2CF9AE}" pid="42" name="monofont">
    <vt:lpwstr>LiberationMono</vt:lpwstr>
  </property>
  <property fmtid="{D5CDD505-2E9C-101B-9397-08002B2CF9AE}" pid="43" name="monofontoptions">
    <vt:lpwstr>Scale=MatchLowercase</vt:lpwstr>
  </property>
  <property fmtid="{D5CDD505-2E9C-101B-9397-08002B2CF9AE}" pid="44" name="nameInLink">
    <vt:lpwstr>False</vt:lpwstr>
  </property>
  <property fmtid="{D5CDD505-2E9C-101B-9397-08002B2CF9AE}" pid="45" name="numberSections">
    <vt:lpwstr>False</vt:lpwstr>
  </property>
  <property fmtid="{D5CDD505-2E9C-101B-9397-08002B2CF9AE}" pid="46" name="pairDelim">
    <vt:lpwstr>, </vt:lpwstr>
  </property>
  <property fmtid="{D5CDD505-2E9C-101B-9397-08002B2CF9AE}" pid="47" name="papersize">
    <vt:lpwstr>a4paper</vt:lpwstr>
  </property>
  <property fmtid="{D5CDD505-2E9C-101B-9397-08002B2CF9AE}" pid="48" name="pdf-engine">
    <vt:lpwstr>lualatex</vt:lpwstr>
  </property>
  <property fmtid="{D5CDD505-2E9C-101B-9397-08002B2CF9AE}" pid="49" name="polyglossia-lang">
    <vt:lpwstr>russian</vt:lpwstr>
  </property>
  <property fmtid="{D5CDD505-2E9C-101B-9397-08002B2CF9AE}" pid="50" name="polyglossia-otherlangs">
    <vt:lpwstr>english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LiberationSerif</vt:lpwstr>
  </property>
  <property fmtid="{D5CDD505-2E9C-101B-9397-08002B2CF9AE}" pid="55" name="romanfontoptions">
    <vt:lpwstr>Ligatures=TeX</vt:lpwstr>
  </property>
  <property fmtid="{D5CDD505-2E9C-101B-9397-08002B2CF9AE}" pid="56" name="sansfont">
    <vt:lpwstr>LiberationSans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по лабораторной работе 7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