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0270E" w14:textId="77777777" w:rsidR="00D30221" w:rsidRPr="00A313DE" w:rsidRDefault="00D30221" w:rsidP="00D30221">
      <w:pPr>
        <w:spacing w:line="259" w:lineRule="auto"/>
        <w:jc w:val="center"/>
        <w:rPr>
          <w:rFonts w:cs="Arial"/>
          <w:b/>
          <w:bCs/>
          <w:szCs w:val="24"/>
          <w:lang w:val="en-US"/>
        </w:rPr>
      </w:pPr>
      <w:bookmarkStart w:id="0" w:name="_Hlk214106752"/>
      <w:bookmarkEnd w:id="0"/>
    </w:p>
    <w:p w14:paraId="3AC3575B" w14:textId="475A8991" w:rsidR="00D30221" w:rsidRPr="00A313DE" w:rsidRDefault="00644BFF" w:rsidP="00D30221">
      <w:pPr>
        <w:spacing w:line="259" w:lineRule="auto"/>
        <w:jc w:val="center"/>
        <w:rPr>
          <w:rFonts w:cs="Arial"/>
          <w:b/>
          <w:bCs/>
          <w:szCs w:val="24"/>
          <w:lang w:val="en-US"/>
        </w:rPr>
      </w:pPr>
      <w:r w:rsidRPr="00A313DE">
        <w:rPr>
          <w:rFonts w:cs="Arial"/>
          <w:b/>
          <w:bCs/>
          <w:szCs w:val="24"/>
          <w:lang w:val="en-US"/>
        </w:rPr>
        <w:t>Credit Models</w:t>
      </w:r>
    </w:p>
    <w:p w14:paraId="2BC9D46D" w14:textId="1C25C71C" w:rsidR="00D30221" w:rsidRPr="00A313DE" w:rsidRDefault="00D30221" w:rsidP="00D30221">
      <w:pPr>
        <w:spacing w:line="259" w:lineRule="auto"/>
        <w:jc w:val="center"/>
        <w:rPr>
          <w:rFonts w:cs="Arial"/>
          <w:b/>
          <w:bCs/>
          <w:szCs w:val="24"/>
          <w:lang w:val="en-US"/>
        </w:rPr>
      </w:pPr>
      <w:r w:rsidRPr="00A313DE">
        <w:rPr>
          <w:rFonts w:cs="Arial"/>
          <w:noProof/>
          <w:szCs w:val="24"/>
          <w:lang w:val="en-US"/>
        </w:rPr>
        <w:drawing>
          <wp:anchor distT="0" distB="0" distL="114300" distR="114300" simplePos="0" relativeHeight="251659264" behindDoc="0" locked="0" layoutInCell="1" allowOverlap="1" wp14:anchorId="6E555022" wp14:editId="28FA0F32">
            <wp:simplePos x="0" y="0"/>
            <wp:positionH relativeFrom="margin">
              <wp:posOffset>441960</wp:posOffset>
            </wp:positionH>
            <wp:positionV relativeFrom="paragraph">
              <wp:posOffset>5715</wp:posOffset>
            </wp:positionV>
            <wp:extent cx="4770755" cy="3979545"/>
            <wp:effectExtent l="0" t="0" r="0" b="0"/>
            <wp:wrapSquare wrapText="bothSides"/>
            <wp:docPr id="877607025" name="Imagen 2" descr="Index of /Identidades-De-Instancia/ITESO/Logos IT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dex of /Identidades-De-Instancia/ITESO/Logos ITES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0755" cy="3979545"/>
                    </a:xfrm>
                    <a:prstGeom prst="rect">
                      <a:avLst/>
                    </a:prstGeom>
                    <a:noFill/>
                  </pic:spPr>
                </pic:pic>
              </a:graphicData>
            </a:graphic>
            <wp14:sizeRelH relativeFrom="page">
              <wp14:pctWidth>0</wp14:pctWidth>
            </wp14:sizeRelH>
            <wp14:sizeRelV relativeFrom="page">
              <wp14:pctHeight>0</wp14:pctHeight>
            </wp14:sizeRelV>
          </wp:anchor>
        </w:drawing>
      </w:r>
    </w:p>
    <w:p w14:paraId="78E71C5B" w14:textId="77777777" w:rsidR="00D30221" w:rsidRPr="00A313DE" w:rsidRDefault="00D30221" w:rsidP="00D30221">
      <w:pPr>
        <w:spacing w:line="259" w:lineRule="auto"/>
        <w:jc w:val="center"/>
        <w:rPr>
          <w:rFonts w:cs="Arial"/>
          <w:b/>
          <w:bCs/>
          <w:szCs w:val="24"/>
          <w:lang w:val="en-US"/>
        </w:rPr>
      </w:pPr>
    </w:p>
    <w:p w14:paraId="5537C931" w14:textId="77777777" w:rsidR="00D30221" w:rsidRPr="00A313DE" w:rsidRDefault="00D30221" w:rsidP="00D30221">
      <w:pPr>
        <w:spacing w:line="259" w:lineRule="auto"/>
        <w:jc w:val="center"/>
        <w:rPr>
          <w:rFonts w:cs="Arial"/>
          <w:b/>
          <w:bCs/>
          <w:szCs w:val="24"/>
          <w:lang w:val="en-US"/>
        </w:rPr>
      </w:pPr>
    </w:p>
    <w:p w14:paraId="582E39A3" w14:textId="77777777" w:rsidR="00D30221" w:rsidRPr="00A313DE" w:rsidRDefault="00D30221" w:rsidP="00D30221">
      <w:pPr>
        <w:spacing w:line="259" w:lineRule="auto"/>
        <w:jc w:val="center"/>
        <w:rPr>
          <w:rFonts w:cs="Arial"/>
          <w:b/>
          <w:bCs/>
          <w:szCs w:val="24"/>
          <w:lang w:val="en-US"/>
        </w:rPr>
      </w:pPr>
    </w:p>
    <w:p w14:paraId="0065FE15" w14:textId="77777777" w:rsidR="00D30221" w:rsidRPr="00A313DE" w:rsidRDefault="00D30221" w:rsidP="00D30221">
      <w:pPr>
        <w:spacing w:line="259" w:lineRule="auto"/>
        <w:jc w:val="center"/>
        <w:rPr>
          <w:rFonts w:cs="Arial"/>
          <w:b/>
          <w:bCs/>
          <w:szCs w:val="24"/>
          <w:lang w:val="en-US"/>
        </w:rPr>
      </w:pPr>
    </w:p>
    <w:p w14:paraId="63D11344" w14:textId="77777777" w:rsidR="00D30221" w:rsidRPr="00A313DE" w:rsidRDefault="00D30221" w:rsidP="00D30221">
      <w:pPr>
        <w:spacing w:line="259" w:lineRule="auto"/>
        <w:jc w:val="center"/>
        <w:rPr>
          <w:rFonts w:cs="Arial"/>
          <w:b/>
          <w:bCs/>
          <w:szCs w:val="24"/>
          <w:lang w:val="en-US"/>
        </w:rPr>
      </w:pPr>
    </w:p>
    <w:p w14:paraId="66DCF4EA" w14:textId="77777777" w:rsidR="00D30221" w:rsidRPr="00A313DE" w:rsidRDefault="00D30221" w:rsidP="00D30221">
      <w:pPr>
        <w:spacing w:line="259" w:lineRule="auto"/>
        <w:jc w:val="center"/>
        <w:rPr>
          <w:rFonts w:cs="Arial"/>
          <w:b/>
          <w:bCs/>
          <w:szCs w:val="24"/>
          <w:lang w:val="en-US"/>
        </w:rPr>
      </w:pPr>
    </w:p>
    <w:p w14:paraId="45AC9BBC" w14:textId="77777777" w:rsidR="00D30221" w:rsidRPr="00A313DE" w:rsidRDefault="00D30221" w:rsidP="00D30221">
      <w:pPr>
        <w:spacing w:line="259" w:lineRule="auto"/>
        <w:jc w:val="center"/>
        <w:rPr>
          <w:rFonts w:cs="Arial"/>
          <w:b/>
          <w:bCs/>
          <w:szCs w:val="24"/>
          <w:lang w:val="en-US"/>
        </w:rPr>
      </w:pPr>
    </w:p>
    <w:p w14:paraId="09DF5643" w14:textId="77777777" w:rsidR="00D30221" w:rsidRPr="00A313DE" w:rsidRDefault="00D30221" w:rsidP="00D30221">
      <w:pPr>
        <w:spacing w:line="259" w:lineRule="auto"/>
        <w:jc w:val="center"/>
        <w:rPr>
          <w:rFonts w:cs="Arial"/>
          <w:b/>
          <w:bCs/>
          <w:szCs w:val="24"/>
          <w:lang w:val="en-US"/>
        </w:rPr>
      </w:pPr>
    </w:p>
    <w:p w14:paraId="57FD0F72" w14:textId="77777777" w:rsidR="00D30221" w:rsidRPr="00A313DE" w:rsidRDefault="00D30221" w:rsidP="00D30221">
      <w:pPr>
        <w:spacing w:line="259" w:lineRule="auto"/>
        <w:jc w:val="center"/>
        <w:rPr>
          <w:rFonts w:cs="Arial"/>
          <w:b/>
          <w:bCs/>
          <w:szCs w:val="24"/>
          <w:lang w:val="en-US"/>
        </w:rPr>
      </w:pPr>
    </w:p>
    <w:p w14:paraId="224670B7" w14:textId="1F545385" w:rsidR="00D30221" w:rsidRPr="00A313DE" w:rsidRDefault="00131371" w:rsidP="00D30221">
      <w:pPr>
        <w:spacing w:line="259" w:lineRule="auto"/>
        <w:jc w:val="center"/>
        <w:rPr>
          <w:rFonts w:cs="Arial"/>
          <w:b/>
          <w:bCs/>
          <w:szCs w:val="24"/>
          <w:lang w:val="en-US"/>
        </w:rPr>
      </w:pPr>
      <w:r w:rsidRPr="00A313DE">
        <w:rPr>
          <w:rFonts w:cs="Arial"/>
          <w:b/>
          <w:bCs/>
          <w:szCs w:val="24"/>
          <w:lang w:val="en-US"/>
        </w:rPr>
        <w:t>Homework 3</w:t>
      </w:r>
      <w:r w:rsidR="00D30221" w:rsidRPr="00A313DE">
        <w:rPr>
          <w:rFonts w:cs="Arial"/>
          <w:b/>
          <w:bCs/>
          <w:szCs w:val="24"/>
          <w:lang w:val="en-US"/>
        </w:rPr>
        <w:t>:</w:t>
      </w:r>
    </w:p>
    <w:p w14:paraId="154240BF" w14:textId="77777777" w:rsidR="007550C3" w:rsidRPr="007550C3" w:rsidRDefault="007550C3" w:rsidP="007550C3">
      <w:pPr>
        <w:jc w:val="center"/>
        <w:rPr>
          <w:rFonts w:cs="Arial"/>
          <w:sz w:val="40"/>
          <w:szCs w:val="40"/>
          <w:lang w:val="en-US"/>
        </w:rPr>
      </w:pPr>
      <w:r w:rsidRPr="007550C3">
        <w:rPr>
          <w:rFonts w:cs="Arial"/>
          <w:sz w:val="40"/>
          <w:szCs w:val="40"/>
          <w:lang w:val="en-US"/>
        </w:rPr>
        <w:t>Stock Market Risk Analysis</w:t>
      </w:r>
    </w:p>
    <w:p w14:paraId="35E8EF28" w14:textId="77777777" w:rsidR="00D30221" w:rsidRPr="00A313DE" w:rsidRDefault="00D30221" w:rsidP="00D30221">
      <w:pPr>
        <w:jc w:val="center"/>
        <w:rPr>
          <w:rFonts w:cs="Arial"/>
          <w:b/>
          <w:bCs/>
          <w:szCs w:val="24"/>
          <w:lang w:val="en-US"/>
        </w:rPr>
      </w:pPr>
    </w:p>
    <w:p w14:paraId="2B725FD7" w14:textId="77777777" w:rsidR="0065732F" w:rsidRPr="00A313DE" w:rsidRDefault="0065732F" w:rsidP="00D30221">
      <w:pPr>
        <w:spacing w:line="259" w:lineRule="auto"/>
        <w:jc w:val="center"/>
        <w:rPr>
          <w:rFonts w:cs="Arial"/>
          <w:b/>
          <w:bCs/>
          <w:szCs w:val="24"/>
          <w:lang w:val="en-US"/>
        </w:rPr>
      </w:pPr>
    </w:p>
    <w:p w14:paraId="6C3683CE" w14:textId="65FD6E23" w:rsidR="00D30221" w:rsidRPr="00A313DE" w:rsidRDefault="00D30221" w:rsidP="00D30221">
      <w:pPr>
        <w:spacing w:line="259" w:lineRule="auto"/>
        <w:jc w:val="center"/>
        <w:rPr>
          <w:rFonts w:cs="Arial"/>
          <w:b/>
          <w:bCs/>
          <w:szCs w:val="24"/>
          <w:lang w:val="en-US"/>
        </w:rPr>
      </w:pPr>
      <w:r w:rsidRPr="00A313DE">
        <w:rPr>
          <w:rFonts w:cs="Arial"/>
          <w:b/>
          <w:bCs/>
          <w:szCs w:val="24"/>
          <w:lang w:val="en-US"/>
        </w:rPr>
        <w:t>Profe</w:t>
      </w:r>
      <w:r w:rsidR="00131371" w:rsidRPr="00A313DE">
        <w:rPr>
          <w:rFonts w:cs="Arial"/>
          <w:b/>
          <w:bCs/>
          <w:szCs w:val="24"/>
          <w:lang w:val="en-US"/>
        </w:rPr>
        <w:t>s</w:t>
      </w:r>
      <w:r w:rsidRPr="00A313DE">
        <w:rPr>
          <w:rFonts w:cs="Arial"/>
          <w:b/>
          <w:bCs/>
          <w:szCs w:val="24"/>
          <w:lang w:val="en-US"/>
        </w:rPr>
        <w:t>sor:</w:t>
      </w:r>
    </w:p>
    <w:p w14:paraId="026B6602" w14:textId="6C10944B" w:rsidR="00D30221" w:rsidRPr="00A313DE" w:rsidRDefault="00F26C40" w:rsidP="00D30221">
      <w:pPr>
        <w:spacing w:line="259" w:lineRule="auto"/>
        <w:jc w:val="center"/>
        <w:rPr>
          <w:rFonts w:cs="Arial"/>
          <w:szCs w:val="24"/>
          <w:lang w:val="en-US"/>
        </w:rPr>
      </w:pPr>
      <w:r w:rsidRPr="00A313DE">
        <w:rPr>
          <w:rFonts w:cs="Arial"/>
          <w:szCs w:val="24"/>
          <w:lang w:val="en-US"/>
        </w:rPr>
        <w:t>Rodolfo Slay Ramos</w:t>
      </w:r>
    </w:p>
    <w:p w14:paraId="6D350B0E" w14:textId="77777777" w:rsidR="00D30221" w:rsidRPr="00A313DE" w:rsidRDefault="00D30221" w:rsidP="00D30221">
      <w:pPr>
        <w:spacing w:line="259" w:lineRule="auto"/>
        <w:jc w:val="center"/>
        <w:rPr>
          <w:rFonts w:cs="Arial"/>
          <w:b/>
          <w:bCs/>
          <w:szCs w:val="24"/>
          <w:lang w:val="en-US"/>
        </w:rPr>
      </w:pPr>
    </w:p>
    <w:p w14:paraId="26F5F800" w14:textId="3972DD8F" w:rsidR="00D30221" w:rsidRPr="00A313DE" w:rsidRDefault="00D30221" w:rsidP="00D30221">
      <w:pPr>
        <w:spacing w:line="259" w:lineRule="auto"/>
        <w:jc w:val="center"/>
        <w:rPr>
          <w:rFonts w:cs="Arial"/>
          <w:b/>
          <w:bCs/>
          <w:szCs w:val="24"/>
          <w:lang w:val="en-US"/>
        </w:rPr>
      </w:pPr>
      <w:r w:rsidRPr="00A313DE">
        <w:rPr>
          <w:rFonts w:cs="Arial"/>
          <w:b/>
          <w:bCs/>
          <w:szCs w:val="24"/>
          <w:lang w:val="en-US"/>
        </w:rPr>
        <w:t>Pre</w:t>
      </w:r>
      <w:r w:rsidR="00131371" w:rsidRPr="00A313DE">
        <w:rPr>
          <w:rFonts w:cs="Arial"/>
          <w:b/>
          <w:bCs/>
          <w:szCs w:val="24"/>
          <w:lang w:val="en-US"/>
        </w:rPr>
        <w:t>sented by</w:t>
      </w:r>
      <w:r w:rsidRPr="00A313DE">
        <w:rPr>
          <w:rFonts w:cs="Arial"/>
          <w:b/>
          <w:bCs/>
          <w:szCs w:val="24"/>
          <w:lang w:val="en-US"/>
        </w:rPr>
        <w:t>:</w:t>
      </w:r>
    </w:p>
    <w:p w14:paraId="4537CF5F" w14:textId="77777777" w:rsidR="00D30221" w:rsidRPr="00A313DE" w:rsidRDefault="00D30221" w:rsidP="00D30221">
      <w:pPr>
        <w:spacing w:line="259" w:lineRule="auto"/>
        <w:jc w:val="center"/>
        <w:rPr>
          <w:rFonts w:cs="Arial"/>
          <w:szCs w:val="24"/>
          <w:lang w:val="en-US"/>
        </w:rPr>
      </w:pPr>
      <w:r w:rsidRPr="00A313DE">
        <w:rPr>
          <w:rFonts w:cs="Arial"/>
          <w:szCs w:val="24"/>
          <w:lang w:val="en-US"/>
        </w:rPr>
        <w:t>David Campos Ambriz – 744435</w:t>
      </w:r>
    </w:p>
    <w:p w14:paraId="091B5245" w14:textId="77777777" w:rsidR="00D30221" w:rsidRPr="00A313DE" w:rsidRDefault="00D30221" w:rsidP="00D30221">
      <w:pPr>
        <w:spacing w:line="259" w:lineRule="auto"/>
        <w:rPr>
          <w:rFonts w:cs="Arial"/>
          <w:szCs w:val="24"/>
          <w:lang w:val="en-US"/>
        </w:rPr>
      </w:pPr>
    </w:p>
    <w:p w14:paraId="72F89F81" w14:textId="77777777" w:rsidR="008A52C1" w:rsidRPr="00A313DE" w:rsidRDefault="008A52C1" w:rsidP="00D30221">
      <w:pPr>
        <w:spacing w:line="259" w:lineRule="auto"/>
        <w:rPr>
          <w:rFonts w:cs="Arial"/>
          <w:szCs w:val="24"/>
          <w:lang w:val="en-US"/>
        </w:rPr>
      </w:pPr>
    </w:p>
    <w:p w14:paraId="1DF9918E" w14:textId="2D1903B1" w:rsidR="00F26C40" w:rsidRPr="00A313DE" w:rsidRDefault="007550C3" w:rsidP="00F26C40">
      <w:pPr>
        <w:pStyle w:val="Ttulo1"/>
        <w:rPr>
          <w:lang w:val="en-US"/>
        </w:rPr>
      </w:pPr>
      <w:r w:rsidRPr="007550C3">
        <w:rPr>
          <w:lang w:val="en-US"/>
        </w:rPr>
        <w:lastRenderedPageBreak/>
        <w:t>Stock Market Risk Analysis</w:t>
      </w:r>
      <w:r w:rsidRPr="00A313DE">
        <w:rPr>
          <w:lang w:val="en-US"/>
        </w:rPr>
        <w:t xml:space="preserve"> Report</w:t>
      </w:r>
    </w:p>
    <w:p w14:paraId="600D3AD9" w14:textId="2F1A167F" w:rsidR="00644BFF" w:rsidRPr="00A313DE" w:rsidRDefault="00644BFF" w:rsidP="00644BFF">
      <w:pPr>
        <w:rPr>
          <w:lang w:val="en-US"/>
        </w:rPr>
      </w:pPr>
      <w:r w:rsidRPr="00A313DE">
        <w:rPr>
          <w:lang w:val="en-US"/>
        </w:rPr>
        <w:t>Risk assessment in companies requires robust tools and methods that go beyond a superficial observation of a company's price history. To determine a company's true financial health, methods such as the Altman Z-score and Melton score exist. These methods, through quantitative models and a company's historical accounting data, help us understand a company's true solvency and probability of bankruptcy over a given period.</w:t>
      </w:r>
    </w:p>
    <w:p w14:paraId="1BE27527" w14:textId="76978D71" w:rsidR="000B0459" w:rsidRPr="00A313DE" w:rsidRDefault="00644BFF" w:rsidP="00644BFF">
      <w:pPr>
        <w:rPr>
          <w:lang w:val="en-US"/>
        </w:rPr>
      </w:pPr>
      <w:r w:rsidRPr="00A313DE">
        <w:rPr>
          <w:lang w:val="en-US"/>
        </w:rPr>
        <w:t>That said, the main objective of this report is to apply both complementary methodologies to assess the credit risk of some companies listed on the US stock exchange. To this end, a Python model was developed that extracts the financial data of a company of interest directly from Yahoo! Finance and uses it to calculate each company's risk indicators. Finally, using these same results as an assessment, a recommendation is issued as to whether the company in question is suitable for receiving credit.</w:t>
      </w:r>
    </w:p>
    <w:p w14:paraId="5B359C2A" w14:textId="799F58C3" w:rsidR="00CC7ECB" w:rsidRPr="00A313DE" w:rsidRDefault="00CC7ECB" w:rsidP="00CC7ECB">
      <w:pPr>
        <w:pStyle w:val="Ttulo1"/>
        <w:rPr>
          <w:lang w:val="en-US"/>
        </w:rPr>
      </w:pPr>
      <w:r w:rsidRPr="00A313DE">
        <w:rPr>
          <w:lang w:val="en-US"/>
        </w:rPr>
        <w:t>Modelo Altman Z-score</w:t>
      </w:r>
    </w:p>
    <w:p w14:paraId="55349190" w14:textId="77777777" w:rsidR="00644BFF" w:rsidRPr="00A313DE" w:rsidRDefault="00644BFF" w:rsidP="00644BFF">
      <w:pPr>
        <w:rPr>
          <w:lang w:val="en-US"/>
        </w:rPr>
      </w:pPr>
      <w:r w:rsidRPr="00A313DE">
        <w:rPr>
          <w:lang w:val="en-US"/>
        </w:rPr>
        <w:t>This model was developed by Edward Altman as a multiple discriminant analysis model that uses certain financial data from a company to attempt to predict the likelihood of bankruptcy in the short and medium term. The "original" version of this model was initially published in 1968 and has subsequently been updated over time, receiving improvements and changes that have helped it adapt to companies in different sectors or be applied in different economic contexts.</w:t>
      </w:r>
    </w:p>
    <w:p w14:paraId="13AF2147" w14:textId="77777777" w:rsidR="00644BFF" w:rsidRPr="00A313DE" w:rsidRDefault="00644BFF" w:rsidP="00644BFF">
      <w:pPr>
        <w:rPr>
          <w:b/>
          <w:lang w:val="en-US"/>
        </w:rPr>
      </w:pPr>
      <w:r w:rsidRPr="00A313DE">
        <w:rPr>
          <w:lang w:val="en-US"/>
        </w:rPr>
        <w:t>In this work, two variants of this same model were implemented in an attempt to obtain a more tailored analysis for the specific sector of the company.</w:t>
      </w:r>
    </w:p>
    <w:p w14:paraId="46F53CC6" w14:textId="77777777" w:rsidR="00644BFF" w:rsidRPr="00A313DE" w:rsidRDefault="00644BFF" w:rsidP="00644BFF">
      <w:pPr>
        <w:pStyle w:val="Ttulo2"/>
        <w:rPr>
          <w:rFonts w:eastAsiaTheme="minorHAnsi" w:cstheme="minorBidi"/>
          <w:b w:val="0"/>
          <w:szCs w:val="22"/>
          <w:lang w:val="en-US"/>
        </w:rPr>
      </w:pPr>
    </w:p>
    <w:p w14:paraId="55E93185" w14:textId="425A70D1" w:rsidR="00CC7ECB" w:rsidRPr="00A313DE" w:rsidRDefault="00644BFF" w:rsidP="00644BFF">
      <w:pPr>
        <w:pStyle w:val="Ttulo2"/>
        <w:rPr>
          <w:szCs w:val="24"/>
          <w:lang w:val="en-US"/>
        </w:rPr>
      </w:pPr>
      <w:r w:rsidRPr="00A313DE">
        <w:rPr>
          <w:szCs w:val="24"/>
          <w:lang w:val="en-US"/>
        </w:rPr>
        <w:t>Original 1968 Model (Manufacturing Companies)</w:t>
      </w:r>
    </w:p>
    <w:p w14:paraId="595F491D" w14:textId="719F2665" w:rsidR="00F551C2" w:rsidRPr="00A313DE" w:rsidRDefault="00644BFF" w:rsidP="00F551C2">
      <w:pPr>
        <w:rPr>
          <w:lang w:val="en-US"/>
        </w:rPr>
      </w:pPr>
      <w:r w:rsidRPr="00A313DE">
        <w:rPr>
          <w:lang w:val="en-US"/>
        </w:rPr>
        <w:t xml:space="preserve">This model evaluated a company based on </w:t>
      </w:r>
      <w:r w:rsidR="00A313DE" w:rsidRPr="00A313DE">
        <w:rPr>
          <w:lang w:val="en-US"/>
        </w:rPr>
        <w:t>five</w:t>
      </w:r>
      <w:r w:rsidRPr="00A313DE">
        <w:rPr>
          <w:lang w:val="en-US"/>
        </w:rPr>
        <w:t xml:space="preserve"> financial points:</w:t>
      </w:r>
      <w:r w:rsidR="00F551C2" w:rsidRPr="00A313DE">
        <w:rPr>
          <w:lang w:val="en-US"/>
        </w:rPr>
        <w:t>:</w:t>
      </w:r>
    </w:p>
    <w:p w14:paraId="66125C38" w14:textId="7D3258C6" w:rsidR="00F551C2" w:rsidRPr="00A313DE" w:rsidRDefault="00F551C2" w:rsidP="00F551C2">
      <w:pPr>
        <w:rPr>
          <w:i/>
          <w:lang w:val="en-US"/>
        </w:rPr>
      </w:pPr>
      <m:oMathPara>
        <m:oMath>
          <m:r>
            <w:rPr>
              <w:rFonts w:ascii="Cambria Math" w:hAnsi="Cambria Math"/>
              <w:lang w:val="en-US"/>
            </w:rPr>
            <m:t>Z=1.2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r>
            <w:rPr>
              <w:rFonts w:ascii="Cambria Math" w:hAnsi="Cambria Math"/>
              <w:lang w:val="en-US"/>
            </w:rPr>
            <m:t>1.</m:t>
          </m:r>
          <m:r>
            <w:rPr>
              <w:rFonts w:ascii="Cambria Math" w:hAnsi="Cambria Math"/>
              <w:lang w:val="en-US"/>
            </w:rPr>
            <m:t>4</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+3</m:t>
          </m:r>
          <m:r>
            <w:rPr>
              <w:rFonts w:ascii="Cambria Math" w:hAnsi="Cambria Math"/>
              <w:lang w:val="en-US"/>
            </w:rPr>
            <m:t>.</m:t>
          </m:r>
          <m:r>
            <w:rPr>
              <w:rFonts w:ascii="Cambria Math" w:hAnsi="Cambria Math"/>
              <w:lang w:val="en-US"/>
            </w:rPr>
            <m:t>3</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+0.6</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4</m:t>
              </m:r>
            </m:sub>
          </m:sSub>
          <m:r>
            <w:rPr>
              <w:rFonts w:ascii="Cambria Math" w:hAnsi="Cambria Math"/>
              <w:lang w:val="en-US"/>
            </w:rPr>
            <m:t>+</m:t>
          </m:r>
          <m:r>
            <w:rPr>
              <w:rFonts w:ascii="Cambria Math" w:hAnsi="Cambria Math"/>
              <w:lang w:val="en-US"/>
            </w:rPr>
            <m:t>1</m:t>
          </m:r>
          <m:r>
            <w:rPr>
              <w:rFonts w:ascii="Cambria Math" w:hAnsi="Cambria Math"/>
              <w:lang w:val="en-US"/>
            </w:rPr>
            <m:t>.0</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5</m:t>
              </m:r>
            </m:sub>
          </m:sSub>
        </m:oMath>
      </m:oMathPara>
    </w:p>
    <w:p w14:paraId="7FF25BBF" w14:textId="5EB6FFB1" w:rsidR="00CC7ECB" w:rsidRPr="00A313DE" w:rsidRDefault="00644BFF" w:rsidP="00CC7ECB">
      <w:pPr>
        <w:rPr>
          <w:lang w:val="en-US"/>
        </w:rPr>
      </w:pPr>
      <w:r w:rsidRPr="00A313DE">
        <w:rPr>
          <w:lang w:val="en-US"/>
        </w:rPr>
        <w:lastRenderedPageBreak/>
        <w:t>Where</w:t>
      </w:r>
      <w:r w:rsidR="00F551C2" w:rsidRPr="00A313DE">
        <w:rPr>
          <w:lang w:val="en-US"/>
        </w:rPr>
        <w:t>:</w:t>
      </w:r>
    </w:p>
    <w:p w14:paraId="0BF92600" w14:textId="39717820" w:rsidR="00F551C2" w:rsidRPr="00A313DE" w:rsidRDefault="00F551C2" w:rsidP="00CC7ECB">
      <w:pPr>
        <w:rPr>
          <w:rFonts w:eastAsiaTheme="minorEastAsia"/>
          <w:lang w:val="en-US"/>
        </w:rPr>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oMath>
      <w:r w:rsidRPr="00A313DE">
        <w:rPr>
          <w:rFonts w:eastAsiaTheme="minorEastAsia"/>
          <w:lang w:val="en-US"/>
        </w:rPr>
        <w:t xml:space="preserve">- </w:t>
      </w:r>
      <w:r w:rsidR="00644BFF" w:rsidRPr="00A313DE">
        <w:rPr>
          <w:rFonts w:eastAsiaTheme="minorEastAsia"/>
          <w:lang w:val="en-US"/>
        </w:rPr>
        <w:t xml:space="preserve">Is the </w:t>
      </w:r>
      <w:r w:rsidR="00644BFF" w:rsidRPr="00A313DE">
        <w:rPr>
          <w:rFonts w:eastAsiaTheme="minorEastAsia"/>
          <w:lang w:val="en-US"/>
        </w:rPr>
        <w:t>Liquidity</w:t>
      </w:r>
      <w:r w:rsidR="00644BFF" w:rsidRPr="00A313DE">
        <w:rPr>
          <w:rFonts w:eastAsiaTheme="minorEastAsia"/>
          <w:lang w:val="en-US"/>
        </w:rPr>
        <w:t xml:space="preserve"> </w:t>
      </w:r>
      <w:r w:rsidR="00644BFF" w:rsidRPr="00A313DE">
        <w:rPr>
          <w:rFonts w:eastAsiaTheme="minorEastAsia"/>
          <w:lang w:val="en-US"/>
        </w:rPr>
        <w:t>: Working Capital / Total Assets. It measures net liquid assets in relation to total capitalization.</w:t>
      </w:r>
    </w:p>
    <w:p w14:paraId="19680105" w14:textId="6551E46A" w:rsidR="00F551C2" w:rsidRPr="00A313DE" w:rsidRDefault="00F551C2" w:rsidP="00F551C2">
      <w:pPr>
        <w:rPr>
          <w:lang w:val="en-US"/>
        </w:rPr>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oMath>
      <w:r w:rsidRPr="00A313DE">
        <w:rPr>
          <w:rFonts w:eastAsiaTheme="minorEastAsia"/>
          <w:lang w:val="en-US"/>
        </w:rPr>
        <w:t xml:space="preserve">- </w:t>
      </w:r>
      <w:r w:rsidR="00644BFF" w:rsidRPr="00A313DE">
        <w:rPr>
          <w:rFonts w:eastAsiaTheme="minorEastAsia"/>
          <w:lang w:val="en-US"/>
        </w:rPr>
        <w:t>It is the Accumulated Profitability: Retained Earnings / Total Assets. It reflects the age and historical purchasing power of the company.</w:t>
      </w:r>
    </w:p>
    <w:p w14:paraId="4135F9F8" w14:textId="157D8019" w:rsidR="00F551C2" w:rsidRPr="00A313DE" w:rsidRDefault="00F551C2" w:rsidP="00F551C2">
      <w:pPr>
        <w:rPr>
          <w:lang w:val="en-US"/>
        </w:rPr>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oMath>
      <w:r w:rsidRPr="00A313DE">
        <w:rPr>
          <w:rFonts w:eastAsiaTheme="minorEastAsia"/>
          <w:lang w:val="en-US"/>
        </w:rPr>
        <w:t xml:space="preserve">- </w:t>
      </w:r>
      <w:r w:rsidR="00644BFF" w:rsidRPr="00A313DE">
        <w:rPr>
          <w:rFonts w:eastAsiaTheme="minorEastAsia"/>
          <w:lang w:val="en-US"/>
        </w:rPr>
        <w:t>Represents Operating Efficiency: EBIT / Total Assets. It measures the true productivity of assets, isolated from tax and leverage factors.</w:t>
      </w:r>
    </w:p>
    <w:p w14:paraId="4EC37B8E" w14:textId="781166AC" w:rsidR="00F551C2" w:rsidRPr="00A313DE" w:rsidRDefault="00F551C2" w:rsidP="00F551C2">
      <w:pPr>
        <w:rPr>
          <w:lang w:val="en-US"/>
        </w:rPr>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4</m:t>
            </m:r>
          </m:sub>
        </m:sSub>
      </m:oMath>
      <w:r w:rsidRPr="00A313DE">
        <w:rPr>
          <w:rFonts w:eastAsiaTheme="minorEastAsia"/>
          <w:lang w:val="en-US"/>
        </w:rPr>
        <w:t xml:space="preserve">- </w:t>
      </w:r>
      <w:r w:rsidR="00644BFF" w:rsidRPr="00A313DE">
        <w:rPr>
          <w:rFonts w:eastAsiaTheme="minorEastAsia"/>
          <w:lang w:val="en-US"/>
        </w:rPr>
        <w:t>Is Market Leverage: Market Cap / Total Liabilities. It indicates how much the value of assets can fall before debt exceeds equity.</w:t>
      </w:r>
    </w:p>
    <w:p w14:paraId="685E7FD2" w14:textId="075D9E47" w:rsidR="00F551C2" w:rsidRPr="00A313DE" w:rsidRDefault="00F551C2" w:rsidP="00CC7ECB">
      <w:pPr>
        <w:rPr>
          <w:rFonts w:eastAsiaTheme="minorEastAsia"/>
          <w:lang w:val="en-US"/>
        </w:rPr>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5</m:t>
            </m:r>
          </m:sub>
        </m:sSub>
      </m:oMath>
      <w:r w:rsidRPr="00A313DE">
        <w:rPr>
          <w:rFonts w:eastAsiaTheme="minorEastAsia"/>
          <w:lang w:val="en-US"/>
        </w:rPr>
        <w:t xml:space="preserve">- </w:t>
      </w:r>
      <w:r w:rsidR="00644BFF" w:rsidRPr="00A313DE">
        <w:rPr>
          <w:rFonts w:eastAsiaTheme="minorEastAsia"/>
          <w:lang w:val="en-US"/>
        </w:rPr>
        <w:t>Indicates Asset Turnover: Sales / Total Assets. It measures management's ability to generate revenue from assets.</w:t>
      </w:r>
    </w:p>
    <w:p w14:paraId="6CCB96BC" w14:textId="77777777" w:rsidR="00644BFF" w:rsidRPr="00A313DE" w:rsidRDefault="00644BFF" w:rsidP="00CC7ECB">
      <w:pPr>
        <w:rPr>
          <w:rFonts w:eastAsiaTheme="minorEastAsia"/>
          <w:lang w:val="en-US"/>
        </w:rPr>
      </w:pPr>
    </w:p>
    <w:p w14:paraId="7DC29D42" w14:textId="403282AA" w:rsidR="00D34454" w:rsidRPr="00A313DE" w:rsidRDefault="00644BFF" w:rsidP="00CC7ECB">
      <w:pPr>
        <w:rPr>
          <w:rFonts w:eastAsiaTheme="minorEastAsia"/>
          <w:lang w:val="en-US"/>
        </w:rPr>
      </w:pPr>
      <w:r w:rsidRPr="00A313DE">
        <w:rPr>
          <w:rFonts w:eastAsiaTheme="minorEastAsia"/>
          <w:lang w:val="en-US"/>
        </w:rPr>
        <w:t>For the results of this model, certain ranges have been established to provide an idea of ​​the classification of a company's financial status when assessing its suitability for receiving credit.</w:t>
      </w:r>
    </w:p>
    <w:p w14:paraId="07F7D90F" w14:textId="7A4ABD2E" w:rsidR="00D34454" w:rsidRPr="00A313DE" w:rsidRDefault="00644BFF" w:rsidP="00987BD1">
      <w:pPr>
        <w:pStyle w:val="Prrafodelista"/>
        <w:numPr>
          <w:ilvl w:val="0"/>
          <w:numId w:val="10"/>
        </w:numPr>
        <w:rPr>
          <w:rFonts w:eastAsiaTheme="minorEastAsia"/>
          <w:lang w:val="en-US"/>
        </w:rPr>
      </w:pPr>
      <w:r w:rsidRPr="00A313DE">
        <w:rPr>
          <w:rFonts w:eastAsiaTheme="minorEastAsia"/>
          <w:lang w:val="en-US"/>
        </w:rPr>
        <w:t>Safe Zone, indicating financial strength and viability for credit approval:</w:t>
      </w:r>
      <w:r w:rsidR="00D34454" w:rsidRPr="00A313DE">
        <w:rPr>
          <w:rFonts w:eastAsiaTheme="minorEastAsia"/>
          <w:lang w:val="en-US"/>
        </w:rPr>
        <w:t xml:space="preserve"> </w:t>
      </w:r>
    </w:p>
    <w:p w14:paraId="160B99B0" w14:textId="28B0213D" w:rsidR="00987BD1" w:rsidRPr="00A313DE" w:rsidRDefault="00D34454" w:rsidP="00D34454">
      <w:pPr>
        <w:pStyle w:val="Prrafodelista"/>
        <w:rPr>
          <w:rFonts w:eastAsiaTheme="minorEastAsia"/>
          <w:lang w:val="en-US"/>
        </w:rPr>
      </w:pPr>
      <m:oMathPara>
        <m:oMath>
          <m:r>
            <w:rPr>
              <w:rFonts w:ascii="Cambria Math" w:eastAsiaTheme="minorEastAsia" w:hAnsi="Cambria Math"/>
              <w:lang w:val="en-US"/>
            </w:rPr>
            <m:t>Z&gt;2.99</m:t>
          </m:r>
        </m:oMath>
      </m:oMathPara>
    </w:p>
    <w:p w14:paraId="7428F591" w14:textId="77777777" w:rsidR="00644BFF" w:rsidRPr="00A313DE" w:rsidRDefault="00644BFF" w:rsidP="00D34454">
      <w:pPr>
        <w:pStyle w:val="Prrafodelista"/>
        <w:rPr>
          <w:rFonts w:eastAsiaTheme="minorEastAsia"/>
          <w:lang w:val="en-US"/>
        </w:rPr>
      </w:pPr>
      <w:r w:rsidRPr="00A313DE">
        <w:rPr>
          <w:rFonts w:eastAsiaTheme="minorEastAsia"/>
          <w:lang w:val="en-US"/>
        </w:rPr>
        <w:t>Grey Zone, indicating uncertainty. That is, the company may have vulnerabilities:</w:t>
      </w:r>
    </w:p>
    <w:p w14:paraId="4274A088" w14:textId="2170819C" w:rsidR="00987BD1" w:rsidRPr="00A313DE" w:rsidRDefault="00D34454" w:rsidP="00D34454">
      <w:pPr>
        <w:pStyle w:val="Prrafodelista"/>
        <w:rPr>
          <w:rFonts w:eastAsiaTheme="minorEastAsia"/>
          <w:lang w:val="en-US"/>
        </w:rPr>
      </w:pPr>
      <m:oMathPara>
        <m:oMath>
          <m:r>
            <w:rPr>
              <w:rFonts w:ascii="Cambria Math" w:eastAsiaTheme="minorEastAsia" w:hAnsi="Cambria Math"/>
              <w:lang w:val="en-US"/>
            </w:rPr>
            <m:t>1.81≤Z≤2.99</m:t>
          </m:r>
        </m:oMath>
      </m:oMathPara>
    </w:p>
    <w:p w14:paraId="73247133" w14:textId="77777777" w:rsidR="00644BFF" w:rsidRPr="00A313DE" w:rsidRDefault="00644BFF" w:rsidP="00D34454">
      <w:pPr>
        <w:pStyle w:val="Prrafodelista"/>
        <w:rPr>
          <w:rFonts w:eastAsiaTheme="minorEastAsia"/>
          <w:lang w:val="en-US"/>
        </w:rPr>
      </w:pPr>
      <w:r w:rsidRPr="00A313DE">
        <w:rPr>
          <w:rFonts w:eastAsiaTheme="minorEastAsia"/>
          <w:lang w:val="en-US"/>
        </w:rPr>
        <w:t>Distress Zone, indicating a potential insolvency warning and therefore grounds for denying credit:</w:t>
      </w:r>
    </w:p>
    <w:p w14:paraId="698ADC1D" w14:textId="0FF6338D" w:rsidR="00D34454" w:rsidRPr="00A313DE" w:rsidRDefault="00D34454" w:rsidP="00D34454">
      <w:pPr>
        <w:pStyle w:val="Prrafodelista"/>
        <w:rPr>
          <w:rFonts w:eastAsiaTheme="minorEastAsia"/>
          <w:lang w:val="en-US"/>
        </w:rPr>
      </w:pPr>
      <m:oMathPara>
        <m:oMath>
          <m:r>
            <w:rPr>
              <w:rFonts w:ascii="Cambria Math" w:eastAsiaTheme="minorEastAsia" w:hAnsi="Cambria Math"/>
              <w:lang w:val="en-US"/>
            </w:rPr>
            <m:t>Z</m:t>
          </m:r>
          <m:r>
            <w:rPr>
              <w:rFonts w:ascii="Cambria Math" w:eastAsiaTheme="minorEastAsia" w:hAnsi="Cambria Math"/>
              <w:lang w:val="en-US"/>
            </w:rPr>
            <m:t>&lt;1.81</m:t>
          </m:r>
        </m:oMath>
      </m:oMathPara>
    </w:p>
    <w:p w14:paraId="7D5309F9" w14:textId="77777777" w:rsidR="00987BD1" w:rsidRPr="00A313DE" w:rsidRDefault="00987BD1" w:rsidP="00CC7ECB">
      <w:pPr>
        <w:rPr>
          <w:rFonts w:eastAsiaTheme="minorEastAsia"/>
          <w:lang w:val="en-US"/>
        </w:rPr>
      </w:pPr>
    </w:p>
    <w:p w14:paraId="19F9EF36" w14:textId="716C44CE" w:rsidR="00F551C2" w:rsidRPr="00A313DE" w:rsidRDefault="00F551C2" w:rsidP="00F551C2">
      <w:pPr>
        <w:pStyle w:val="Ttulo2"/>
        <w:rPr>
          <w:szCs w:val="24"/>
          <w:lang w:val="en-US"/>
        </w:rPr>
      </w:pPr>
      <w:r w:rsidRPr="00A313DE">
        <w:rPr>
          <w:szCs w:val="24"/>
          <w:lang w:val="en-US"/>
        </w:rPr>
        <w:t>A</w:t>
      </w:r>
      <w:r w:rsidR="00644BFF" w:rsidRPr="00A313DE">
        <w:rPr>
          <w:szCs w:val="24"/>
          <w:lang w:val="en-US"/>
        </w:rPr>
        <w:t>ltman Z Model (Emerging and Non-Manufacturing Markets)</w:t>
      </w:r>
    </w:p>
    <w:p w14:paraId="6FC96E12" w14:textId="4D6B845D" w:rsidR="00F551C2" w:rsidRPr="00A313DE" w:rsidRDefault="00644BFF" w:rsidP="00CC7ECB">
      <w:pPr>
        <w:rPr>
          <w:rFonts w:eastAsiaTheme="minorEastAsia"/>
          <w:lang w:val="en-US"/>
        </w:rPr>
      </w:pPr>
      <w:r w:rsidRPr="00A313DE">
        <w:rPr>
          <w:rFonts w:eastAsiaTheme="majorEastAsia" w:cstheme="majorBidi"/>
          <w:lang w:val="en-US"/>
        </w:rPr>
        <w:t xml:space="preserve">While the previous model is functional and has a certain degree of accuracy, it tends to fail when applied to </w:t>
      </w:r>
      <w:r w:rsidR="00A313DE" w:rsidRPr="00A313DE">
        <w:rPr>
          <w:rFonts w:eastAsiaTheme="majorEastAsia" w:cstheme="majorBidi"/>
          <w:lang w:val="en-US"/>
        </w:rPr>
        <w:t>diverse types</w:t>
      </w:r>
      <w:r w:rsidRPr="00A313DE">
        <w:rPr>
          <w:rFonts w:eastAsiaTheme="majorEastAsia" w:cstheme="majorBidi"/>
          <w:lang w:val="en-US"/>
        </w:rPr>
        <w:t xml:space="preserve"> of industries than those for which it </w:t>
      </w:r>
      <w:proofErr w:type="gramStart"/>
      <w:r w:rsidRPr="00A313DE">
        <w:rPr>
          <w:rFonts w:eastAsiaTheme="majorEastAsia" w:cstheme="majorBidi"/>
          <w:lang w:val="en-US"/>
        </w:rPr>
        <w:t xml:space="preserve">was originally </w:t>
      </w:r>
      <w:r w:rsidRPr="00A313DE">
        <w:rPr>
          <w:rFonts w:eastAsiaTheme="majorEastAsia" w:cstheme="majorBidi"/>
          <w:lang w:val="en-US"/>
        </w:rPr>
        <w:lastRenderedPageBreak/>
        <w:t>designed</w:t>
      </w:r>
      <w:proofErr w:type="gramEnd"/>
      <w:r w:rsidRPr="00A313DE">
        <w:rPr>
          <w:rFonts w:eastAsiaTheme="majorEastAsia" w:cstheme="majorBidi"/>
          <w:lang w:val="en-US"/>
        </w:rPr>
        <w:t>. This is due to</w:t>
      </w:r>
      <w:r w:rsidRPr="00A313DE">
        <w:rPr>
          <w:rFonts w:eastAsiaTheme="majorEastAsia" w:cstheme="majorBidi"/>
          <w:lang w:val="en-US"/>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5</m:t>
            </m:r>
          </m:sub>
        </m:sSub>
      </m:oMath>
      <w:r w:rsidR="00F551C2" w:rsidRPr="00A313DE">
        <w:rPr>
          <w:rFonts w:eastAsiaTheme="minorEastAsia"/>
          <w:lang w:val="en-US"/>
        </w:rPr>
        <w:t xml:space="preserve"> </w:t>
      </w:r>
      <w:r w:rsidRPr="00A313DE">
        <w:rPr>
          <w:rFonts w:eastAsiaTheme="minorEastAsia"/>
          <w:lang w:val="en-US"/>
        </w:rPr>
        <w:t>which varied constantly depending on the type of industry. Therefore, this new model proposes eliminating</w:t>
      </w:r>
      <w:r w:rsidRPr="00A313DE">
        <w:rPr>
          <w:rFonts w:eastAsiaTheme="minorEastAsia"/>
          <w:lang w:val="en-US"/>
        </w:rPr>
        <w:t xml:space="preserve"> this variable</w:t>
      </w:r>
      <w:r w:rsidR="00987BD1" w:rsidRPr="00A313DE">
        <w:rPr>
          <w:rFonts w:eastAsiaTheme="minorEastAsia"/>
          <w:lang w:val="en-US"/>
        </w:rPr>
        <w:t xml:space="preserve"> </w:t>
      </w:r>
      <w:r w:rsidRPr="00A313DE">
        <w:rPr>
          <w:rFonts w:eastAsiaTheme="minorEastAsia"/>
          <w:lang w:val="en-US"/>
        </w:rPr>
        <w:t>as a way to mitigate sectoral bias and instead uses the book value of capital in</w:t>
      </w:r>
      <w:r w:rsidRPr="00A313DE">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4</m:t>
            </m:r>
          </m:sub>
        </m:sSub>
      </m:oMath>
      <w:r w:rsidR="00987BD1" w:rsidRPr="00A313DE">
        <w:rPr>
          <w:rFonts w:eastAsiaTheme="minorEastAsia"/>
          <w:lang w:val="en-US"/>
        </w:rPr>
        <w:t>:</w:t>
      </w:r>
    </w:p>
    <w:p w14:paraId="37AA148A" w14:textId="43FE9EB7" w:rsidR="00987BD1" w:rsidRPr="00A313DE" w:rsidRDefault="00987BD1" w:rsidP="00987BD1">
      <w:pPr>
        <w:rPr>
          <w:rFonts w:eastAsiaTheme="minorEastAsia"/>
          <w:i/>
          <w:lang w:val="en-US"/>
        </w:rPr>
      </w:pPr>
      <m:oMathPara>
        <m:oMath>
          <m:r>
            <w:rPr>
              <w:rFonts w:ascii="Cambria Math" w:hAnsi="Cambria Math"/>
              <w:lang w:val="en-US"/>
            </w:rPr>
            <m:t>Z</m:t>
          </m:r>
          <m:r>
            <w:rPr>
              <w:rFonts w:ascii="Cambria Math" w:hAnsi="Cambria Math"/>
              <w:lang w:val="en-US"/>
            </w:rPr>
            <m:t>''</m:t>
          </m:r>
          <m:r>
            <w:rPr>
              <w:rFonts w:ascii="Cambria Math" w:hAnsi="Cambria Math"/>
              <w:lang w:val="en-US"/>
            </w:rPr>
            <m:t>=</m:t>
          </m:r>
          <m:r>
            <w:rPr>
              <w:rFonts w:ascii="Cambria Math" w:hAnsi="Cambria Math"/>
              <w:lang w:val="en-US"/>
            </w:rPr>
            <m:t>6.56</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r>
            <w:rPr>
              <w:rFonts w:ascii="Cambria Math" w:hAnsi="Cambria Math"/>
              <w:lang w:val="en-US"/>
            </w:rPr>
            <m:t>3.26</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r>
            <w:rPr>
              <w:rFonts w:ascii="Cambria Math" w:hAnsi="Cambria Math"/>
              <w:lang w:val="en-US"/>
            </w:rPr>
            <m:t>6.72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m:t>
          </m:r>
          <m:r>
            <w:rPr>
              <w:rFonts w:ascii="Cambria Math" w:hAnsi="Cambria Math"/>
              <w:lang w:val="en-US"/>
            </w:rPr>
            <m:t>1.05</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4</m:t>
              </m:r>
            </m:sub>
          </m:sSub>
        </m:oMath>
      </m:oMathPara>
    </w:p>
    <w:p w14:paraId="30477323" w14:textId="50595A92" w:rsidR="00987BD1" w:rsidRPr="00A313DE" w:rsidRDefault="00644BFF" w:rsidP="00987BD1">
      <w:pPr>
        <w:rPr>
          <w:iCs/>
          <w:lang w:val="en-US"/>
        </w:rPr>
      </w:pPr>
      <w:r w:rsidRPr="00A313DE">
        <w:rPr>
          <w:iCs/>
          <w:lang w:val="en-US"/>
        </w:rPr>
        <w:t>The ranges for this model are:</w:t>
      </w:r>
      <w:r w:rsidR="00D34454" w:rsidRPr="00A313DE">
        <w:rPr>
          <w:iCs/>
          <w:lang w:val="en-US"/>
        </w:rPr>
        <w:t>:</w:t>
      </w:r>
    </w:p>
    <w:p w14:paraId="7D5C15CD" w14:textId="040BADE8" w:rsidR="00D34454" w:rsidRPr="00A313DE" w:rsidRDefault="00D34454" w:rsidP="00D34454">
      <w:pPr>
        <w:pStyle w:val="Prrafodelista"/>
        <w:numPr>
          <w:ilvl w:val="0"/>
          <w:numId w:val="10"/>
        </w:numPr>
        <w:rPr>
          <w:rFonts w:eastAsiaTheme="minorEastAsia"/>
          <w:lang w:val="en-US"/>
        </w:rPr>
      </w:pPr>
      <w:r w:rsidRPr="00A313DE">
        <w:rPr>
          <w:rFonts w:eastAsiaTheme="minorEastAsia"/>
          <w:lang w:val="en-US"/>
        </w:rPr>
        <w:t xml:space="preserve">Safe Zone </w:t>
      </w:r>
    </w:p>
    <w:p w14:paraId="50BD41EC" w14:textId="5F9E3CEB" w:rsidR="00D34454" w:rsidRPr="00A313DE" w:rsidRDefault="00D34454" w:rsidP="00D34454">
      <w:pPr>
        <w:pStyle w:val="Prrafodelista"/>
        <w:rPr>
          <w:rFonts w:eastAsiaTheme="minorEastAsia"/>
          <w:lang w:val="en-US"/>
        </w:rPr>
      </w:pPr>
      <m:oMathPara>
        <m:oMath>
          <m:r>
            <w:rPr>
              <w:rFonts w:ascii="Cambria Math" w:eastAsiaTheme="minorEastAsia" w:hAnsi="Cambria Math"/>
              <w:lang w:val="en-US"/>
            </w:rPr>
            <m:t>Z</m:t>
          </m:r>
          <m:r>
            <w:rPr>
              <w:rFonts w:ascii="Cambria Math" w:eastAsiaTheme="minorEastAsia" w:hAnsi="Cambria Math"/>
              <w:lang w:val="en-US"/>
            </w:rPr>
            <m:t>''</m:t>
          </m:r>
          <m:r>
            <w:rPr>
              <w:rFonts w:ascii="Cambria Math" w:eastAsiaTheme="minorEastAsia" w:hAnsi="Cambria Math"/>
              <w:lang w:val="en-US"/>
            </w:rPr>
            <m:t>&gt;2.</m:t>
          </m:r>
          <m:r>
            <w:rPr>
              <w:rFonts w:ascii="Cambria Math" w:eastAsiaTheme="minorEastAsia" w:hAnsi="Cambria Math"/>
              <w:lang w:val="en-US"/>
            </w:rPr>
            <m:t>6</m:t>
          </m:r>
        </m:oMath>
      </m:oMathPara>
    </w:p>
    <w:p w14:paraId="0796DCAB" w14:textId="6754A45E" w:rsidR="00D34454" w:rsidRPr="00A313DE" w:rsidRDefault="00D34454" w:rsidP="00D34454">
      <w:pPr>
        <w:pStyle w:val="Prrafodelista"/>
        <w:numPr>
          <w:ilvl w:val="0"/>
          <w:numId w:val="10"/>
        </w:numPr>
        <w:rPr>
          <w:rFonts w:eastAsiaTheme="minorEastAsia"/>
          <w:lang w:val="en-US"/>
        </w:rPr>
      </w:pPr>
      <w:r w:rsidRPr="00A313DE">
        <w:rPr>
          <w:rFonts w:eastAsiaTheme="minorEastAsia"/>
          <w:lang w:val="en-US"/>
        </w:rPr>
        <w:t>Grey Zone</w:t>
      </w:r>
    </w:p>
    <w:p w14:paraId="419C4F1B" w14:textId="6C6DACA3" w:rsidR="00D34454" w:rsidRPr="00A313DE" w:rsidRDefault="00D34454" w:rsidP="00D34454">
      <w:pPr>
        <w:pStyle w:val="Prrafodelista"/>
        <w:rPr>
          <w:rFonts w:eastAsiaTheme="minorEastAsia"/>
          <w:lang w:val="en-US"/>
        </w:rPr>
      </w:pPr>
      <m:oMathPara>
        <m:oMath>
          <m:r>
            <w:rPr>
              <w:rFonts w:ascii="Cambria Math" w:eastAsiaTheme="minorEastAsia" w:hAnsi="Cambria Math"/>
              <w:lang w:val="en-US"/>
            </w:rPr>
            <m:t>1.</m:t>
          </m:r>
          <m:r>
            <w:rPr>
              <w:rFonts w:ascii="Cambria Math" w:eastAsiaTheme="minorEastAsia" w:hAnsi="Cambria Math"/>
              <w:lang w:val="en-US"/>
            </w:rPr>
            <m:t>1</m:t>
          </m:r>
          <m:r>
            <w:rPr>
              <w:rFonts w:ascii="Cambria Math" w:eastAsiaTheme="minorEastAsia" w:hAnsi="Cambria Math"/>
              <w:lang w:val="en-US"/>
            </w:rPr>
            <m:t>≤Z</m:t>
          </m:r>
          <m:r>
            <w:rPr>
              <w:rFonts w:ascii="Cambria Math" w:eastAsiaTheme="minorEastAsia" w:hAnsi="Cambria Math"/>
              <w:lang w:val="en-US"/>
            </w:rPr>
            <m:t>''</m:t>
          </m:r>
          <m:r>
            <w:rPr>
              <w:rFonts w:ascii="Cambria Math" w:eastAsiaTheme="minorEastAsia" w:hAnsi="Cambria Math"/>
              <w:lang w:val="en-US"/>
            </w:rPr>
            <m:t>≤2.</m:t>
          </m:r>
          <m:r>
            <w:rPr>
              <w:rFonts w:ascii="Cambria Math" w:eastAsiaTheme="minorEastAsia" w:hAnsi="Cambria Math"/>
              <w:lang w:val="en-US"/>
            </w:rPr>
            <m:t>6</m:t>
          </m:r>
        </m:oMath>
      </m:oMathPara>
    </w:p>
    <w:p w14:paraId="2493A77C" w14:textId="3532A5DB" w:rsidR="00D34454" w:rsidRPr="00A313DE" w:rsidRDefault="00D34454" w:rsidP="00D34454">
      <w:pPr>
        <w:pStyle w:val="Prrafodelista"/>
        <w:numPr>
          <w:ilvl w:val="0"/>
          <w:numId w:val="10"/>
        </w:numPr>
        <w:rPr>
          <w:rFonts w:eastAsiaTheme="minorEastAsia"/>
          <w:lang w:val="en-US"/>
        </w:rPr>
      </w:pPr>
      <w:r w:rsidRPr="00A313DE">
        <w:rPr>
          <w:rFonts w:eastAsiaTheme="minorEastAsia"/>
          <w:lang w:val="en-US"/>
        </w:rPr>
        <w:t>Distress Zone</w:t>
      </w:r>
    </w:p>
    <w:p w14:paraId="4F8D105F" w14:textId="0200F816" w:rsidR="00D34454" w:rsidRPr="00A313DE" w:rsidRDefault="00D34454" w:rsidP="00D34454">
      <w:pPr>
        <w:pStyle w:val="Prrafodelista"/>
        <w:rPr>
          <w:rFonts w:eastAsiaTheme="minorEastAsia"/>
          <w:lang w:val="en-US"/>
        </w:rPr>
      </w:pPr>
      <m:oMathPara>
        <m:oMath>
          <m:r>
            <w:rPr>
              <w:rFonts w:ascii="Cambria Math" w:eastAsiaTheme="minorEastAsia" w:hAnsi="Cambria Math"/>
              <w:lang w:val="en-US"/>
            </w:rPr>
            <m:t>Z&lt;1</m:t>
          </m:r>
          <m:r>
            <w:rPr>
              <w:rFonts w:ascii="Cambria Math" w:eastAsiaTheme="minorEastAsia" w:hAnsi="Cambria Math"/>
              <w:lang w:val="en-US"/>
            </w:rPr>
            <m:t>.1</m:t>
          </m:r>
        </m:oMath>
      </m:oMathPara>
    </w:p>
    <w:p w14:paraId="0C3C67F2" w14:textId="77777777" w:rsidR="00987BD1" w:rsidRPr="00A313DE" w:rsidRDefault="00987BD1" w:rsidP="00CC7ECB">
      <w:pPr>
        <w:rPr>
          <w:lang w:val="en-US"/>
        </w:rPr>
      </w:pPr>
    </w:p>
    <w:p w14:paraId="455A649D" w14:textId="1B58DB0C" w:rsidR="00D34454" w:rsidRPr="00A313DE" w:rsidRDefault="00D34454" w:rsidP="00D34454">
      <w:pPr>
        <w:pStyle w:val="Ttulo1"/>
        <w:rPr>
          <w:lang w:val="en-US"/>
        </w:rPr>
      </w:pPr>
      <w:r w:rsidRPr="00A313DE">
        <w:rPr>
          <w:lang w:val="en-US"/>
        </w:rPr>
        <w:t xml:space="preserve">Modelo </w:t>
      </w:r>
      <w:r w:rsidRPr="00A313DE">
        <w:rPr>
          <w:lang w:val="en-US"/>
        </w:rPr>
        <w:t>de Merton</w:t>
      </w:r>
    </w:p>
    <w:p w14:paraId="101C7E21" w14:textId="7EF62A8B" w:rsidR="00D34454" w:rsidRPr="00A313DE" w:rsidRDefault="00644BFF" w:rsidP="00D34454">
      <w:pPr>
        <w:rPr>
          <w:rFonts w:eastAsiaTheme="minorEastAsia"/>
          <w:lang w:val="en-US"/>
        </w:rPr>
      </w:pPr>
      <w:r w:rsidRPr="00A313DE">
        <w:rPr>
          <w:lang w:val="en-US"/>
        </w:rPr>
        <w:t>The defining characteristic of the Merton model is that, unlike the Altman model which relies on accounting ratios, this model considers the randomness of the problem and utilizes Black-Scholes option pricing as well as market dynamics. In principle, this model assumes that a company's equity</w:t>
      </w:r>
      <w:r w:rsidR="0062563E" w:rsidRPr="00A313DE">
        <w:rPr>
          <w:rFonts w:ascii="Cambria Math" w:eastAsiaTheme="minorEastAsia" w:hAnsi="Cambria Math"/>
          <w:i/>
          <w:lang w:val="en-US"/>
        </w:rPr>
        <w:t xml:space="preserve"> </w:t>
      </w:r>
      <w:r w:rsidR="0062563E" w:rsidRPr="00A313DE">
        <w:rPr>
          <w:rFonts w:ascii="Cambria Math" w:eastAsiaTheme="minorEastAsia" w:hAnsi="Cambria Math"/>
          <w:iCs/>
          <w:lang w:val="en-US"/>
        </w:rPr>
        <w:t>(</w:t>
      </w:r>
      <m:oMath>
        <m:r>
          <w:rPr>
            <w:rFonts w:ascii="Cambria Math" w:eastAsiaTheme="minorEastAsia" w:hAnsi="Cambria Math"/>
            <w:lang w:val="en-US"/>
          </w:rPr>
          <m:t>E</m:t>
        </m:r>
      </m:oMath>
      <w:r w:rsidR="0062563E" w:rsidRPr="00A313DE">
        <w:rPr>
          <w:rFonts w:ascii="Cambria Math" w:eastAsiaTheme="minorEastAsia" w:hAnsi="Cambria Math"/>
          <w:iCs/>
          <w:lang w:val="en-US"/>
        </w:rPr>
        <w:t>)</w:t>
      </w:r>
      <w:r w:rsidR="0062563E" w:rsidRPr="00A313DE">
        <w:rPr>
          <w:lang w:val="en-US"/>
        </w:rPr>
        <w:t xml:space="preserve"> </w:t>
      </w:r>
      <w:r w:rsidRPr="00A313DE">
        <w:rPr>
          <w:lang w:val="en-US"/>
        </w:rPr>
        <w:t>can function as a call option on the total value of its assets</w:t>
      </w:r>
      <w:r w:rsidR="0062563E" w:rsidRPr="00A313DE">
        <w:rPr>
          <w:lang w:val="en-US"/>
        </w:rPr>
        <w:t xml:space="preserve"> (</w:t>
      </w:r>
      <m:oMath>
        <m:r>
          <w:rPr>
            <w:rFonts w:ascii="Cambria Math" w:hAnsi="Cambria Math"/>
            <w:lang w:val="en-US"/>
          </w:rPr>
          <m:t>V</m:t>
        </m:r>
      </m:oMath>
      <w:r w:rsidR="0062563E" w:rsidRPr="00A313DE">
        <w:rPr>
          <w:rFonts w:eastAsiaTheme="minorEastAsia"/>
          <w:lang w:val="en-US"/>
        </w:rPr>
        <w:t>)</w:t>
      </w:r>
      <w:r w:rsidR="0062563E" w:rsidRPr="00A313DE">
        <w:rPr>
          <w:lang w:val="en-US"/>
        </w:rPr>
        <w:t xml:space="preserve"> </w:t>
      </w:r>
      <w:r w:rsidRPr="00A313DE">
        <w:rPr>
          <w:lang w:val="en-US"/>
        </w:rPr>
        <w:t>indicating that the strike price is equivalent to the total value of its debt</w:t>
      </w:r>
      <w:r w:rsidR="0062563E" w:rsidRPr="00A313DE">
        <w:rPr>
          <w:lang w:val="en-US"/>
        </w:rPr>
        <w:t xml:space="preserve"> (</w:t>
      </w:r>
      <m:oMath>
        <m:r>
          <w:rPr>
            <w:rFonts w:ascii="Cambria Math" w:hAnsi="Cambria Math"/>
            <w:lang w:val="en-US"/>
          </w:rPr>
          <m:t>D</m:t>
        </m:r>
      </m:oMath>
      <w:r w:rsidR="0062563E" w:rsidRPr="00A313DE">
        <w:rPr>
          <w:rFonts w:eastAsiaTheme="minorEastAsia"/>
          <w:lang w:val="en-US"/>
        </w:rPr>
        <w:t xml:space="preserve">). </w:t>
      </w:r>
      <w:r w:rsidRPr="00A313DE">
        <w:rPr>
          <w:rFonts w:eastAsiaTheme="minorEastAsia"/>
          <w:lang w:val="en-US"/>
        </w:rPr>
        <w:t>Therefore, if at the maturity of the debt at time</w:t>
      </w:r>
      <w:r w:rsidR="0062563E" w:rsidRPr="00A313DE">
        <w:rPr>
          <w:rFonts w:eastAsiaTheme="minorEastAsia"/>
          <w:lang w:val="en-US"/>
        </w:rPr>
        <w:t xml:space="preserve"> </w:t>
      </w:r>
      <m:oMath>
        <m:r>
          <w:rPr>
            <w:rFonts w:ascii="Cambria Math" w:eastAsiaTheme="minorEastAsia" w:hAnsi="Cambria Math"/>
            <w:lang w:val="en-US"/>
          </w:rPr>
          <m:t>T</m:t>
        </m:r>
      </m:oMath>
      <w:r w:rsidRPr="00A313DE">
        <w:rPr>
          <w:rFonts w:eastAsiaTheme="minorEastAsia"/>
          <w:lang w:val="en-US"/>
        </w:rPr>
        <w:t xml:space="preserve">, </w:t>
      </w:r>
      <w:r w:rsidRPr="00A313DE">
        <w:rPr>
          <w:rFonts w:eastAsiaTheme="minorEastAsia"/>
          <w:lang w:val="en-US"/>
        </w:rPr>
        <w:t>the value of the assets</w:t>
      </w:r>
      <w:r w:rsidRPr="00A313DE">
        <w:rPr>
          <w:rFonts w:eastAsiaTheme="minorEastAsia"/>
          <w:lang w:val="en-US"/>
        </w:rPr>
        <w:t xml:space="preserve"> </w:t>
      </w:r>
      <m:oMath>
        <m:r>
          <w:rPr>
            <w:rFonts w:ascii="Cambria Math" w:eastAsiaTheme="minorEastAsia" w:hAnsi="Cambria Math"/>
            <w:lang w:val="en-US"/>
          </w:rPr>
          <m:t>V</m:t>
        </m:r>
      </m:oMath>
      <w:r w:rsidR="0062563E" w:rsidRPr="00A313DE">
        <w:rPr>
          <w:rFonts w:eastAsiaTheme="minorEastAsia"/>
          <w:lang w:val="en-US"/>
        </w:rPr>
        <w:t xml:space="preserve"> </w:t>
      </w:r>
      <w:r w:rsidRPr="00A313DE">
        <w:rPr>
          <w:rFonts w:eastAsiaTheme="minorEastAsia"/>
          <w:lang w:val="en-US"/>
        </w:rPr>
        <w:t>is less than</w:t>
      </w:r>
      <w:r w:rsidR="0062563E" w:rsidRPr="00A313DE">
        <w:rPr>
          <w:rFonts w:eastAsiaTheme="minorEastAsia"/>
          <w:lang w:val="en-US"/>
        </w:rPr>
        <w:t xml:space="preserve"> </w:t>
      </w:r>
      <m:oMath>
        <m:r>
          <w:rPr>
            <w:rFonts w:ascii="Cambria Math" w:eastAsiaTheme="minorEastAsia" w:hAnsi="Cambria Math"/>
            <w:lang w:val="en-US"/>
          </w:rPr>
          <m:t>D</m:t>
        </m:r>
      </m:oMath>
      <w:r w:rsidR="0062563E" w:rsidRPr="00A313DE">
        <w:rPr>
          <w:rFonts w:eastAsiaTheme="minorEastAsia"/>
          <w:lang w:val="en-US"/>
        </w:rPr>
        <w:t xml:space="preserve"> (</w:t>
      </w:r>
      <w:r w:rsidRPr="00A313DE">
        <w:rPr>
          <w:rFonts w:eastAsiaTheme="minorEastAsia"/>
          <w:lang w:val="en-US"/>
        </w:rPr>
        <w:t>debt</w:t>
      </w:r>
      <w:r w:rsidR="0062563E" w:rsidRPr="00A313DE">
        <w:rPr>
          <w:rFonts w:eastAsiaTheme="minorEastAsia"/>
          <w:lang w:val="en-US"/>
        </w:rPr>
        <w:t xml:space="preserve">), </w:t>
      </w:r>
      <w:r w:rsidRPr="00A313DE">
        <w:rPr>
          <w:rFonts w:eastAsiaTheme="minorEastAsia"/>
          <w:lang w:val="en-US"/>
        </w:rPr>
        <w:t>the shareholders do not exercise the option, and consequently, the company defaults.</w:t>
      </w:r>
    </w:p>
    <w:p w14:paraId="71655C27" w14:textId="77777777" w:rsidR="00644BFF" w:rsidRPr="00A313DE" w:rsidRDefault="00644BFF" w:rsidP="00D34454">
      <w:pPr>
        <w:rPr>
          <w:rFonts w:eastAsiaTheme="minorEastAsia"/>
          <w:lang w:val="en-US"/>
        </w:rPr>
      </w:pPr>
      <w:r w:rsidRPr="00A313DE">
        <w:rPr>
          <w:rFonts w:eastAsiaTheme="minorEastAsia"/>
          <w:lang w:val="en-US"/>
        </w:rPr>
        <w:t>Perhaps the only drawback of this model is that it operates under the assumption that we know and have all the data readily available, which is not the case. Given that the market value of the assets and their volatility are not directly observable values, it may be necessary to numerically solve for the values ​​of these variables using observable data such as market capitalization, equity volatility, and the total value of debt.</w:t>
      </w:r>
    </w:p>
    <w:p w14:paraId="0A39E180" w14:textId="56768366" w:rsidR="008707F9" w:rsidRPr="00A313DE" w:rsidRDefault="00644BFF" w:rsidP="00D34454">
      <w:pPr>
        <w:rPr>
          <w:rFonts w:eastAsiaTheme="minorEastAsia"/>
          <w:lang w:val="en-US"/>
        </w:rPr>
      </w:pPr>
      <w:r w:rsidRPr="00A313DE">
        <w:rPr>
          <w:rFonts w:eastAsiaTheme="minorEastAsia"/>
          <w:lang w:val="en-US"/>
        </w:rPr>
        <w:lastRenderedPageBreak/>
        <w:t>Once all the necessary values ​​are obtained, the model begins by calculating the distance to default, or "DD," which measures how many standard deviations the expected value of the assets is from the critical bankruptcy point or the debt value:</w:t>
      </w:r>
    </w:p>
    <w:p w14:paraId="679EFC8B" w14:textId="4D9AEBBA" w:rsidR="008707F9" w:rsidRPr="00A313DE" w:rsidRDefault="008707F9" w:rsidP="00D34454">
      <w:pPr>
        <w:rPr>
          <w:rFonts w:eastAsiaTheme="minorEastAsia"/>
          <w:i/>
          <w:lang w:val="en-US"/>
        </w:rPr>
      </w:pPr>
      <m:oMathPara>
        <m:oMath>
          <m:r>
            <w:rPr>
              <w:rFonts w:ascii="Cambria Math" w:hAnsi="Cambria Math"/>
              <w:lang w:val="en-US"/>
            </w:rPr>
            <m:t>DD=</m:t>
          </m:r>
          <m:f>
            <m:fPr>
              <m:ctrlPr>
                <w:rPr>
                  <w:rFonts w:ascii="Cambria Math" w:hAnsi="Cambria Math"/>
                  <w:i/>
                  <w:lang w:val="en-US"/>
                </w:rPr>
              </m:ctrlPr>
            </m:fPr>
            <m:num>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V</m:t>
                          </m:r>
                        </m:num>
                        <m:den>
                          <m:r>
                            <w:rPr>
                              <w:rFonts w:ascii="Cambria Math" w:hAnsi="Cambria Math"/>
                              <w:lang w:val="en-US"/>
                            </w:rPr>
                            <m:t>D</m:t>
                          </m:r>
                        </m:den>
                      </m:f>
                    </m:e>
                  </m:d>
                  <m:r>
                    <w:rPr>
                      <w:rFonts w:ascii="Cambria Math" w:hAnsi="Cambria Math"/>
                      <w:lang w:val="en-US"/>
                    </w:rPr>
                    <m:t>+</m:t>
                  </m:r>
                  <m:d>
                    <m:dPr>
                      <m:ctrlPr>
                        <w:rPr>
                          <w:rFonts w:ascii="Cambria Math" w:hAnsi="Cambria Math"/>
                          <w:i/>
                          <w:lang w:val="en-US"/>
                        </w:rPr>
                      </m:ctrlPr>
                    </m:dPr>
                    <m:e>
                      <m:r>
                        <w:rPr>
                          <w:rFonts w:ascii="Cambria Math" w:hAnsi="Cambria Math"/>
                          <w:lang w:val="en-US"/>
                        </w:rPr>
                        <m:t>r-0.5</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V</m:t>
                          </m:r>
                        </m:sub>
                        <m:sup>
                          <m:r>
                            <w:rPr>
                              <w:rFonts w:ascii="Cambria Math" w:hAnsi="Cambria Math"/>
                              <w:lang w:val="en-US"/>
                            </w:rPr>
                            <m:t>2</m:t>
                          </m:r>
                        </m:sup>
                      </m:sSubSup>
                    </m:e>
                  </m:d>
                  <m:r>
                    <m:rPr>
                      <m:sty m:val="p"/>
                    </m:rPr>
                    <w:rPr>
                      <w:rFonts w:ascii="Cambria Math" w:hAnsi="Cambria Math"/>
                      <w:lang w:val="en-US"/>
                    </w:rPr>
                    <m:t>Δ</m:t>
                  </m:r>
                  <m:r>
                    <w:rPr>
                      <w:rFonts w:ascii="Cambria Math" w:hAnsi="Cambria Math"/>
                      <w:lang w:val="en-US"/>
                    </w:rPr>
                    <m:t>T</m:t>
                  </m:r>
                </m:e>
              </m:func>
            </m:num>
            <m:den>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V</m:t>
                  </m:r>
                </m:sub>
              </m:sSub>
              <m:rad>
                <m:radPr>
                  <m:degHide m:val="1"/>
                  <m:ctrlPr>
                    <w:rPr>
                      <w:rFonts w:ascii="Cambria Math" w:hAnsi="Cambria Math"/>
                      <w:i/>
                      <w:lang w:val="en-US"/>
                    </w:rPr>
                  </m:ctrlPr>
                </m:radPr>
                <m:deg/>
                <m:e>
                  <m:r>
                    <m:rPr>
                      <m:sty m:val="p"/>
                    </m:rPr>
                    <w:rPr>
                      <w:rFonts w:ascii="Cambria Math" w:hAnsi="Cambria Math"/>
                      <w:lang w:val="en-US"/>
                    </w:rPr>
                    <m:t>Δ</m:t>
                  </m:r>
                  <m:r>
                    <w:rPr>
                      <w:rFonts w:ascii="Cambria Math" w:hAnsi="Cambria Math"/>
                      <w:lang w:val="en-US"/>
                    </w:rPr>
                    <m:t>T</m:t>
                  </m:r>
                </m:e>
              </m:rad>
            </m:den>
          </m:f>
        </m:oMath>
      </m:oMathPara>
    </w:p>
    <w:p w14:paraId="1F9DBF8D" w14:textId="4A8285AA" w:rsidR="00D34454" w:rsidRPr="00A313DE" w:rsidRDefault="00644BFF" w:rsidP="00CC7ECB">
      <w:pPr>
        <w:rPr>
          <w:iCs/>
          <w:lang w:val="en-US"/>
        </w:rPr>
      </w:pPr>
      <w:r w:rsidRPr="00A313DE">
        <w:rPr>
          <w:rFonts w:eastAsiaTheme="minorEastAsia"/>
          <w:iCs/>
          <w:lang w:val="en-US"/>
        </w:rPr>
        <w:t>Where</w:t>
      </w:r>
      <w:r w:rsidR="008707F9" w:rsidRPr="00A313DE">
        <w:rPr>
          <w:rFonts w:eastAsiaTheme="minorEastAsia"/>
          <w:iCs/>
          <w:lang w:val="en-US"/>
        </w:rPr>
        <w:t xml:space="preserve"> </w:t>
      </w:r>
      <m:oMath>
        <m:r>
          <w:rPr>
            <w:rFonts w:ascii="Cambria Math" w:eastAsiaTheme="minorEastAsia" w:hAnsi="Cambria Math"/>
            <w:lang w:val="en-US"/>
          </w:rPr>
          <m:t>r</m:t>
        </m:r>
      </m:oMath>
      <w:r w:rsidR="008707F9" w:rsidRPr="00A313DE">
        <w:rPr>
          <w:rFonts w:eastAsiaTheme="minorEastAsia"/>
          <w:iCs/>
          <w:lang w:val="en-US"/>
        </w:rPr>
        <w:t xml:space="preserve"> </w:t>
      </w:r>
      <w:r w:rsidRPr="00A313DE">
        <w:rPr>
          <w:rFonts w:eastAsiaTheme="minorEastAsia"/>
          <w:iCs/>
          <w:lang w:val="en-US"/>
        </w:rPr>
        <w:t>is the risk-free rate and</w:t>
      </w:r>
      <w:r w:rsidR="008707F9" w:rsidRPr="00A313DE">
        <w:rPr>
          <w:rFonts w:eastAsiaTheme="minorEastAsia"/>
          <w:iCs/>
          <w:lang w:val="en-US"/>
        </w:rPr>
        <w:t xml:space="preserve"> </w:t>
      </w:r>
      <m:oMath>
        <m:r>
          <w:rPr>
            <w:rFonts w:ascii="Cambria Math" w:eastAsiaTheme="minorEastAsia" w:hAnsi="Cambria Math"/>
            <w:lang w:val="en-US"/>
          </w:rPr>
          <m:t>T</m:t>
        </m:r>
      </m:oMath>
      <w:r w:rsidR="008707F9" w:rsidRPr="00A313DE">
        <w:rPr>
          <w:rFonts w:eastAsiaTheme="minorEastAsia"/>
          <w:iCs/>
          <w:lang w:val="en-US"/>
        </w:rPr>
        <w:t xml:space="preserve"> re</w:t>
      </w:r>
      <w:r w:rsidRPr="00A313DE">
        <w:rPr>
          <w:rFonts w:eastAsiaTheme="minorEastAsia"/>
          <w:iCs/>
          <w:lang w:val="en-US"/>
        </w:rPr>
        <w:t>presents the time period</w:t>
      </w:r>
      <w:r w:rsidR="008707F9" w:rsidRPr="00A313DE">
        <w:rPr>
          <w:rFonts w:eastAsiaTheme="minorEastAsia"/>
          <w:iCs/>
          <w:lang w:val="en-US"/>
        </w:rPr>
        <w:t>.</w:t>
      </w:r>
      <w:r w:rsidR="008707F9" w:rsidRPr="00A313DE">
        <w:rPr>
          <w:iCs/>
          <w:lang w:val="en-US"/>
        </w:rPr>
        <w:t xml:space="preserve"> </w:t>
      </w:r>
    </w:p>
    <w:p w14:paraId="252F8314" w14:textId="05652F85" w:rsidR="008707F9" w:rsidRPr="00A313DE" w:rsidRDefault="00644BFF" w:rsidP="00CC7ECB">
      <w:pPr>
        <w:rPr>
          <w:rFonts w:eastAsiaTheme="minorEastAsia"/>
          <w:lang w:val="en-US"/>
        </w:rPr>
      </w:pPr>
      <w:r w:rsidRPr="00A313DE">
        <w:rPr>
          <w:iCs/>
          <w:lang w:val="en-US"/>
        </w:rPr>
        <w:t xml:space="preserve">Next, it calculates the probability of default, or "PD," which </w:t>
      </w:r>
      <w:proofErr w:type="gramStart"/>
      <w:r w:rsidRPr="00A313DE">
        <w:rPr>
          <w:iCs/>
          <w:lang w:val="en-US"/>
        </w:rPr>
        <w:t>is obtained</w:t>
      </w:r>
      <w:proofErr w:type="gramEnd"/>
      <w:r w:rsidRPr="00A313DE">
        <w:rPr>
          <w:iCs/>
          <w:lang w:val="en-US"/>
        </w:rPr>
        <w:t xml:space="preserve"> by applying the cumulative normal distribution function</w:t>
      </w:r>
      <w:r w:rsidR="008707F9" w:rsidRPr="00A313DE">
        <w:rPr>
          <w:iCs/>
          <w:lang w:val="en-US"/>
        </w:rPr>
        <w:t xml:space="preserve"> </w:t>
      </w:r>
      <m:oMath>
        <m:r>
          <w:rPr>
            <w:rFonts w:ascii="Cambria Math" w:hAnsi="Cambria Math"/>
            <w:lang w:val="en-US"/>
          </w:rPr>
          <m:t>N</m:t>
        </m:r>
      </m:oMath>
      <w:r w:rsidR="008707F9" w:rsidRPr="00A313DE">
        <w:rPr>
          <w:rFonts w:eastAsiaTheme="minorEastAsia"/>
          <w:iCs/>
          <w:lang w:val="en-US"/>
        </w:rPr>
        <w:t xml:space="preserve"> </w:t>
      </w:r>
      <w:r w:rsidRPr="00A313DE">
        <w:rPr>
          <w:rFonts w:eastAsiaTheme="minorEastAsia"/>
          <w:iCs/>
          <w:lang w:val="en-US"/>
        </w:rPr>
        <w:t>to</w:t>
      </w:r>
      <w:r w:rsidR="008707F9" w:rsidRPr="00A313DE">
        <w:rPr>
          <w:rFonts w:eastAsiaTheme="minorEastAsia"/>
          <w:iCs/>
          <w:lang w:val="en-US"/>
        </w:rPr>
        <w:t xml:space="preserve"> </w:t>
      </w:r>
      <m:oMath>
        <m:r>
          <w:rPr>
            <w:rFonts w:ascii="Cambria Math" w:hAnsi="Cambria Math"/>
            <w:lang w:val="en-US"/>
          </w:rPr>
          <m:t>D</m:t>
        </m:r>
        <m:r>
          <w:rPr>
            <w:rFonts w:ascii="Cambria Math" w:hAnsi="Cambria Math"/>
            <w:lang w:val="en-US"/>
          </w:rPr>
          <m:t>D</m:t>
        </m:r>
      </m:oMath>
      <w:r w:rsidR="008707F9" w:rsidRPr="00A313DE">
        <w:rPr>
          <w:rFonts w:eastAsiaTheme="minorEastAsia"/>
          <w:lang w:val="en-US"/>
        </w:rPr>
        <w:t xml:space="preserve"> </w:t>
      </w:r>
      <w:r w:rsidRPr="00A313DE">
        <w:rPr>
          <w:rFonts w:eastAsiaTheme="minorEastAsia"/>
          <w:lang w:val="en-US"/>
        </w:rPr>
        <w:t>or</w:t>
      </w:r>
      <w:r w:rsidR="008707F9" w:rsidRPr="00A313DE">
        <w:rPr>
          <w:rFonts w:eastAsiaTheme="minorEastAsia"/>
          <w:lang w:val="en-US"/>
        </w:rPr>
        <w:t xml:space="preserve"> “d</w:t>
      </w:r>
      <w:r w:rsidRPr="00A313DE">
        <w:rPr>
          <w:rFonts w:eastAsiaTheme="minorEastAsia"/>
          <w:lang w:val="en-US"/>
        </w:rPr>
        <w:t>istance to</w:t>
      </w:r>
      <w:r w:rsidR="008707F9" w:rsidRPr="00A313DE">
        <w:rPr>
          <w:rFonts w:eastAsiaTheme="minorEastAsia"/>
          <w:lang w:val="en-US"/>
        </w:rPr>
        <w:t xml:space="preserve"> default</w:t>
      </w:r>
      <w:r w:rsidR="00A313DE" w:rsidRPr="00A313DE">
        <w:rPr>
          <w:rFonts w:eastAsiaTheme="minorEastAsia"/>
          <w:lang w:val="en-US"/>
        </w:rPr>
        <w:t>.”</w:t>
      </w:r>
    </w:p>
    <w:p w14:paraId="1002E92B" w14:textId="3C9B3C9E" w:rsidR="008707F9" w:rsidRPr="00A313DE" w:rsidRDefault="008707F9" w:rsidP="00CC7ECB">
      <w:pPr>
        <w:rPr>
          <w:rFonts w:eastAsiaTheme="minorEastAsia"/>
          <w:i/>
          <w:lang w:val="en-US"/>
        </w:rPr>
      </w:pPr>
      <m:oMathPara>
        <m:oMath>
          <m:r>
            <w:rPr>
              <w:rFonts w:ascii="Cambria Math" w:hAnsi="Cambria Math"/>
              <w:lang w:val="en-US"/>
            </w:rPr>
            <m:t>P</m:t>
          </m:r>
          <m:r>
            <w:rPr>
              <w:rFonts w:ascii="Cambria Math" w:hAnsi="Cambria Math"/>
              <w:lang w:val="en-US"/>
            </w:rPr>
            <m:t>D</m:t>
          </m:r>
          <m:r>
            <w:rPr>
              <w:rFonts w:ascii="Cambria Math" w:hAnsi="Cambria Math"/>
              <w:lang w:val="en-US"/>
            </w:rPr>
            <m:t>=1-N(DD)</m:t>
          </m:r>
        </m:oMath>
      </m:oMathPara>
    </w:p>
    <w:p w14:paraId="596ED2C5" w14:textId="3312BD96" w:rsidR="00412125" w:rsidRPr="00A313DE" w:rsidRDefault="00644BFF" w:rsidP="00CC7ECB">
      <w:pPr>
        <w:rPr>
          <w:rFonts w:eastAsiaTheme="minorEastAsia"/>
          <w:iCs/>
          <w:lang w:val="en-US"/>
        </w:rPr>
      </w:pPr>
      <w:r w:rsidRPr="00A313DE">
        <w:rPr>
          <w:rFonts w:eastAsiaTheme="minorEastAsia"/>
          <w:iCs/>
          <w:lang w:val="en-US"/>
        </w:rPr>
        <w:t>Once this value is obtained, the probability must be evaluated using predefined decision parameters to determine the company's risk level</w:t>
      </w:r>
      <w:r w:rsidR="00412125" w:rsidRPr="00A313DE">
        <w:rPr>
          <w:rFonts w:eastAsiaTheme="minorEastAsia"/>
          <w:iCs/>
          <w:lang w:val="en-US"/>
        </w:rPr>
        <w:t>:</w:t>
      </w:r>
    </w:p>
    <w:p w14:paraId="2D0CD972" w14:textId="22A88CC5" w:rsidR="00412125" w:rsidRPr="00A313DE" w:rsidRDefault="00412125" w:rsidP="00412125">
      <w:pPr>
        <w:pStyle w:val="Prrafodelista"/>
        <w:numPr>
          <w:ilvl w:val="0"/>
          <w:numId w:val="10"/>
        </w:numPr>
        <w:rPr>
          <w:rFonts w:eastAsiaTheme="minorEastAsia"/>
          <w:lang w:val="en-US"/>
        </w:rPr>
      </w:pPr>
      <w:r w:rsidRPr="00A313DE">
        <w:rPr>
          <w:rFonts w:eastAsiaTheme="minorEastAsia"/>
          <w:lang w:val="en-US"/>
        </w:rPr>
        <w:t xml:space="preserve">Safe Zone, </w:t>
      </w:r>
      <w:r w:rsidR="001C2F41" w:rsidRPr="00A313DE">
        <w:rPr>
          <w:rFonts w:eastAsiaTheme="minorEastAsia"/>
          <w:lang w:val="en-US"/>
        </w:rPr>
        <w:t>which in this case indicates a significant distance from default and therefore demonstrates solid solvency</w:t>
      </w:r>
      <w:r w:rsidRPr="00A313DE">
        <w:rPr>
          <w:rFonts w:eastAsiaTheme="minorEastAsia"/>
          <w:lang w:val="en-US"/>
        </w:rPr>
        <w:t>.</w:t>
      </w:r>
      <w:r w:rsidRPr="00A313DE">
        <w:rPr>
          <w:rFonts w:eastAsiaTheme="minorEastAsia"/>
          <w:lang w:val="en-US"/>
        </w:rPr>
        <w:t xml:space="preserve"> </w:t>
      </w:r>
    </w:p>
    <w:p w14:paraId="60FEAB13" w14:textId="5E788A5F" w:rsidR="00412125" w:rsidRPr="00A313DE" w:rsidRDefault="00412125" w:rsidP="00412125">
      <w:pPr>
        <w:pStyle w:val="Prrafodelista"/>
        <w:rPr>
          <w:rFonts w:eastAsiaTheme="minorEastAsia"/>
          <w:i/>
          <w:lang w:val="en-US"/>
        </w:rPr>
      </w:pPr>
      <m:oMathPara>
        <m:oMath>
          <m:r>
            <w:rPr>
              <w:rFonts w:ascii="Cambria Math" w:eastAsiaTheme="minorEastAsia" w:hAnsi="Cambria Math"/>
              <w:lang w:val="en-US"/>
            </w:rPr>
            <m:t>PD&lt;2.0%</m:t>
          </m:r>
        </m:oMath>
      </m:oMathPara>
    </w:p>
    <w:p w14:paraId="24F5EEBE" w14:textId="03AF3485" w:rsidR="00412125" w:rsidRPr="00A313DE" w:rsidRDefault="00412125" w:rsidP="00412125">
      <w:pPr>
        <w:pStyle w:val="Prrafodelista"/>
        <w:numPr>
          <w:ilvl w:val="0"/>
          <w:numId w:val="10"/>
        </w:numPr>
        <w:rPr>
          <w:rFonts w:eastAsiaTheme="minorEastAsia"/>
          <w:lang w:val="en-US"/>
        </w:rPr>
      </w:pPr>
      <w:r w:rsidRPr="00A313DE">
        <w:rPr>
          <w:rFonts w:eastAsiaTheme="minorEastAsia"/>
          <w:lang w:val="en-US"/>
        </w:rPr>
        <w:t xml:space="preserve">Grey Zone, </w:t>
      </w:r>
      <w:r w:rsidR="001C2F41" w:rsidRPr="00A313DE">
        <w:rPr>
          <w:rFonts w:eastAsiaTheme="minorEastAsia"/>
          <w:lang w:val="en-US"/>
        </w:rPr>
        <w:t>which indicates uncertainty or moderate risk.</w:t>
      </w:r>
      <w:r w:rsidRPr="00A313DE">
        <w:rPr>
          <w:rFonts w:eastAsiaTheme="minorEastAsia"/>
          <w:lang w:val="en-US"/>
        </w:rPr>
        <w:t>.</w:t>
      </w:r>
    </w:p>
    <w:p w14:paraId="09D4A5A6" w14:textId="3D34DD2D" w:rsidR="00412125" w:rsidRPr="00A313DE" w:rsidRDefault="00412125" w:rsidP="00412125">
      <w:pPr>
        <w:pStyle w:val="Prrafodelista"/>
        <w:rPr>
          <w:rFonts w:eastAsiaTheme="minorEastAsia"/>
          <w:lang w:val="en-US"/>
        </w:rPr>
      </w:pPr>
      <m:oMathPara>
        <m:oMath>
          <m:r>
            <w:rPr>
              <w:rFonts w:ascii="Cambria Math" w:eastAsiaTheme="minorEastAsia" w:hAnsi="Cambria Math"/>
              <w:lang w:val="en-US"/>
            </w:rPr>
            <m:t>2.0%</m:t>
          </m:r>
          <m:r>
            <w:rPr>
              <w:rFonts w:ascii="Cambria Math" w:eastAsiaTheme="minorEastAsia" w:hAnsi="Cambria Math"/>
              <w:lang w:val="en-US"/>
            </w:rPr>
            <m:t>≤</m:t>
          </m:r>
          <m:r>
            <w:rPr>
              <w:rFonts w:ascii="Cambria Math" w:eastAsiaTheme="minorEastAsia" w:hAnsi="Cambria Math"/>
              <w:lang w:val="en-US"/>
            </w:rPr>
            <m:t>PD</m:t>
          </m:r>
          <m:r>
            <w:rPr>
              <w:rFonts w:ascii="Cambria Math" w:eastAsiaTheme="minorEastAsia" w:hAnsi="Cambria Math"/>
              <w:lang w:val="en-US"/>
            </w:rPr>
            <m:t>≤</m:t>
          </m:r>
          <m:r>
            <w:rPr>
              <w:rFonts w:ascii="Cambria Math" w:eastAsiaTheme="minorEastAsia" w:hAnsi="Cambria Math"/>
              <w:lang w:val="en-US"/>
            </w:rPr>
            <m:t>5.0%</m:t>
          </m:r>
        </m:oMath>
      </m:oMathPara>
    </w:p>
    <w:p w14:paraId="3DE394BE" w14:textId="288E431A" w:rsidR="00412125" w:rsidRPr="00A313DE" w:rsidRDefault="00412125" w:rsidP="00412125">
      <w:pPr>
        <w:pStyle w:val="Prrafodelista"/>
        <w:numPr>
          <w:ilvl w:val="0"/>
          <w:numId w:val="10"/>
        </w:numPr>
        <w:rPr>
          <w:rFonts w:eastAsiaTheme="minorEastAsia"/>
          <w:lang w:val="en-US"/>
        </w:rPr>
      </w:pPr>
      <w:r w:rsidRPr="00A313DE">
        <w:rPr>
          <w:rFonts w:eastAsiaTheme="minorEastAsia"/>
          <w:lang w:val="en-US"/>
        </w:rPr>
        <w:t xml:space="preserve">Distress Zone, </w:t>
      </w:r>
      <w:r w:rsidR="001C2F41" w:rsidRPr="00A313DE">
        <w:rPr>
          <w:rFonts w:eastAsiaTheme="minorEastAsia"/>
          <w:lang w:val="en-US"/>
        </w:rPr>
        <w:t>which would indicate a high probability of defaulting on its obligations, thus disqualifying the company from receiving credit.</w:t>
      </w:r>
    </w:p>
    <w:p w14:paraId="5ECE02C8" w14:textId="0F74A74B" w:rsidR="00412125" w:rsidRPr="00A313DE" w:rsidRDefault="00412125" w:rsidP="00412125">
      <w:pPr>
        <w:pStyle w:val="Prrafodelista"/>
        <w:rPr>
          <w:rFonts w:eastAsiaTheme="minorEastAsia"/>
          <w:lang w:val="en-US"/>
        </w:rPr>
      </w:pPr>
      <m:oMathPara>
        <m:oMath>
          <m:r>
            <w:rPr>
              <w:rFonts w:ascii="Cambria Math" w:eastAsiaTheme="minorEastAsia" w:hAnsi="Cambria Math"/>
              <w:lang w:val="en-US"/>
            </w:rPr>
            <m:t>PD&gt;5.0%</m:t>
          </m:r>
        </m:oMath>
      </m:oMathPara>
    </w:p>
    <w:p w14:paraId="38B970B7" w14:textId="77777777" w:rsidR="001C2F41" w:rsidRPr="00A313DE" w:rsidRDefault="001C2F41">
      <w:pPr>
        <w:spacing w:line="259" w:lineRule="auto"/>
        <w:jc w:val="left"/>
        <w:rPr>
          <w:rFonts w:eastAsiaTheme="minorEastAsia" w:cs="Times New Roman"/>
          <w:b/>
          <w:bCs/>
          <w:kern w:val="36"/>
          <w:sz w:val="28"/>
          <w:szCs w:val="48"/>
          <w:lang w:val="en-US" w:eastAsia="es-MX"/>
          <w14:ligatures w14:val="none"/>
        </w:rPr>
      </w:pPr>
      <w:r w:rsidRPr="00A313DE">
        <w:rPr>
          <w:rFonts w:eastAsiaTheme="minorEastAsia"/>
          <w:lang w:val="en-US"/>
        </w:rPr>
        <w:br w:type="page"/>
      </w:r>
    </w:p>
    <w:p w14:paraId="4DD5B9CE" w14:textId="77F97990" w:rsidR="00412125" w:rsidRPr="00A313DE" w:rsidRDefault="00DB6C2E" w:rsidP="00DB6C2E">
      <w:pPr>
        <w:pStyle w:val="Ttulo1"/>
        <w:rPr>
          <w:rFonts w:eastAsiaTheme="minorEastAsia"/>
          <w:lang w:val="en-US"/>
        </w:rPr>
      </w:pPr>
      <w:r w:rsidRPr="00A313DE">
        <w:rPr>
          <w:rFonts w:eastAsiaTheme="minorEastAsia"/>
          <w:lang w:val="en-US"/>
        </w:rPr>
        <w:lastRenderedPageBreak/>
        <w:t>Implementa</w:t>
      </w:r>
      <w:r w:rsidR="001C2F41" w:rsidRPr="00A313DE">
        <w:rPr>
          <w:rFonts w:eastAsiaTheme="minorEastAsia"/>
          <w:lang w:val="en-US"/>
        </w:rPr>
        <w:t>tion</w:t>
      </w:r>
    </w:p>
    <w:p w14:paraId="2FFB9680" w14:textId="57B0EB72" w:rsidR="00DB6C2E" w:rsidRPr="00A313DE" w:rsidRDefault="00DB6C2E" w:rsidP="00DB6C2E">
      <w:pPr>
        <w:rPr>
          <w:lang w:val="en-US"/>
        </w:rPr>
      </w:pPr>
      <w:r w:rsidRPr="00A313DE">
        <w:rPr>
          <w:lang w:val="en-US"/>
        </w:rPr>
        <w:drawing>
          <wp:inline distT="0" distB="0" distL="0" distR="0" wp14:anchorId="394565DB" wp14:editId="563D62F7">
            <wp:extent cx="5698321" cy="2637682"/>
            <wp:effectExtent l="0" t="0" r="0" b="0"/>
            <wp:docPr id="5306251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25101" name="Imagen 1" descr="Diagrama&#10;&#10;El contenido generado por IA puede ser incorrecto."/>
                    <pic:cNvPicPr/>
                  </pic:nvPicPr>
                  <pic:blipFill>
                    <a:blip r:embed="rId9"/>
                    <a:stretch>
                      <a:fillRect/>
                    </a:stretch>
                  </pic:blipFill>
                  <pic:spPr>
                    <a:xfrm>
                      <a:off x="0" y="0"/>
                      <a:ext cx="5709412" cy="2642816"/>
                    </a:xfrm>
                    <a:prstGeom prst="rect">
                      <a:avLst/>
                    </a:prstGeom>
                  </pic:spPr>
                </pic:pic>
              </a:graphicData>
            </a:graphic>
          </wp:inline>
        </w:drawing>
      </w:r>
    </w:p>
    <w:p w14:paraId="772F6C34" w14:textId="2830F2DD" w:rsidR="00412125" w:rsidRPr="00A313DE" w:rsidRDefault="001C2F41" w:rsidP="00CC7ECB">
      <w:pPr>
        <w:rPr>
          <w:rFonts w:eastAsiaTheme="minorEastAsia"/>
          <w:iCs/>
          <w:lang w:val="en-US"/>
        </w:rPr>
      </w:pPr>
      <w:r w:rsidRPr="00A313DE">
        <w:rPr>
          <w:rFonts w:eastAsiaTheme="minorEastAsia"/>
          <w:iCs/>
          <w:lang w:val="en-US"/>
        </w:rPr>
        <w:t>To expedite the code development process, it was built using object-oriented programming, as shown in the diagram above, following this procedure</w:t>
      </w:r>
      <w:r w:rsidR="00DB6C2E" w:rsidRPr="00A313DE">
        <w:rPr>
          <w:rFonts w:eastAsiaTheme="minorEastAsia"/>
          <w:iCs/>
          <w:lang w:val="en-US"/>
        </w:rPr>
        <w:t>:</w:t>
      </w:r>
    </w:p>
    <w:p w14:paraId="7C0D37DC" w14:textId="77777777" w:rsidR="001C2F41" w:rsidRPr="00A313DE" w:rsidRDefault="001C2F41" w:rsidP="00DB6C2E">
      <w:pPr>
        <w:pStyle w:val="Prrafodelista"/>
        <w:numPr>
          <w:ilvl w:val="0"/>
          <w:numId w:val="10"/>
        </w:numPr>
        <w:rPr>
          <w:rFonts w:eastAsiaTheme="minorEastAsia"/>
          <w:iCs/>
          <w:lang w:val="en-US"/>
        </w:rPr>
      </w:pPr>
      <w:r w:rsidRPr="00A313DE">
        <w:rPr>
          <w:rFonts w:eastAsiaTheme="minorEastAsia"/>
          <w:iCs/>
          <w:lang w:val="en-US"/>
        </w:rPr>
        <w:t>First, data is extracted from Yahoo! Finance, filtering for the accounting metrics necessary for this exercise.</w:t>
      </w:r>
    </w:p>
    <w:p w14:paraId="7661ECFF" w14:textId="35A974F8" w:rsidR="00DB6C2E" w:rsidRPr="00A313DE" w:rsidRDefault="001C2F41" w:rsidP="00DB6C2E">
      <w:pPr>
        <w:pStyle w:val="Prrafodelista"/>
        <w:numPr>
          <w:ilvl w:val="0"/>
          <w:numId w:val="10"/>
        </w:numPr>
        <w:rPr>
          <w:rFonts w:eastAsiaTheme="minorEastAsia"/>
          <w:iCs/>
          <w:lang w:val="en-US"/>
        </w:rPr>
      </w:pPr>
      <w:r w:rsidRPr="00A313DE">
        <w:rPr>
          <w:rFonts w:eastAsiaTheme="minorEastAsia"/>
          <w:iCs/>
          <w:lang w:val="en-US"/>
        </w:rPr>
        <w:t>Next, the three models (OriginalAltmanStrategy, EmergingMarketsAltmanStrategy, and MertonModelStrategy) are processed separately. These models use the obtained data to calculate the valuation and determine its position within each range.</w:t>
      </w:r>
    </w:p>
    <w:p w14:paraId="01EC4CDA" w14:textId="381DEE07" w:rsidR="00DD1B2D" w:rsidRPr="00A313DE" w:rsidRDefault="001C2F41" w:rsidP="00DB6C2E">
      <w:pPr>
        <w:pStyle w:val="Prrafodelista"/>
        <w:numPr>
          <w:ilvl w:val="0"/>
          <w:numId w:val="10"/>
        </w:numPr>
        <w:rPr>
          <w:rFonts w:eastAsiaTheme="minorEastAsia"/>
          <w:iCs/>
          <w:lang w:val="en-US"/>
        </w:rPr>
      </w:pPr>
      <w:r w:rsidRPr="00A313DE">
        <w:rPr>
          <w:rFonts w:eastAsiaTheme="minorEastAsia"/>
          <w:iCs/>
          <w:lang w:val="en-US"/>
        </w:rPr>
        <w:t>Finally, the results are sent to the dashboard, where the final results and the final recommendation are displayed. This recommendation is contingent upon at least one of the Altman models and the Merton model assigning the company a "safe zone" rating.</w:t>
      </w:r>
    </w:p>
    <w:p w14:paraId="2EB003D2" w14:textId="77777777" w:rsidR="00412125" w:rsidRPr="00A313DE" w:rsidRDefault="00412125" w:rsidP="00CC7ECB">
      <w:pPr>
        <w:rPr>
          <w:rFonts w:eastAsiaTheme="minorEastAsia"/>
          <w:iCs/>
          <w:lang w:val="en-US"/>
        </w:rPr>
      </w:pPr>
    </w:p>
    <w:p w14:paraId="13F2FECF" w14:textId="77777777" w:rsidR="00DD1B2D" w:rsidRPr="00A313DE" w:rsidRDefault="00DD1B2D" w:rsidP="00CC7ECB">
      <w:pPr>
        <w:rPr>
          <w:rFonts w:eastAsiaTheme="minorEastAsia"/>
          <w:iCs/>
          <w:lang w:val="en-US"/>
        </w:rPr>
      </w:pPr>
    </w:p>
    <w:p w14:paraId="09E1566D" w14:textId="77777777" w:rsidR="00DD1B2D" w:rsidRPr="00A313DE" w:rsidRDefault="00DD1B2D" w:rsidP="00CC7ECB">
      <w:pPr>
        <w:rPr>
          <w:rFonts w:eastAsiaTheme="minorEastAsia"/>
          <w:iCs/>
          <w:lang w:val="en-US"/>
        </w:rPr>
      </w:pPr>
    </w:p>
    <w:p w14:paraId="0DFA62F4" w14:textId="77777777" w:rsidR="00DD1B2D" w:rsidRPr="00A313DE" w:rsidRDefault="00DD1B2D" w:rsidP="00CC7ECB">
      <w:pPr>
        <w:rPr>
          <w:rFonts w:eastAsiaTheme="minorEastAsia"/>
          <w:iCs/>
          <w:lang w:val="en-US"/>
        </w:rPr>
      </w:pPr>
    </w:p>
    <w:p w14:paraId="40FC942B" w14:textId="5EC3B835" w:rsidR="00DD1B2D" w:rsidRPr="00A313DE" w:rsidRDefault="00DD1B2D" w:rsidP="00DD1B2D">
      <w:pPr>
        <w:pStyle w:val="Ttulo1"/>
        <w:rPr>
          <w:rFonts w:eastAsiaTheme="minorEastAsia"/>
          <w:lang w:val="en-US"/>
        </w:rPr>
      </w:pPr>
      <w:r w:rsidRPr="00A313DE">
        <w:rPr>
          <w:rFonts w:eastAsiaTheme="minorEastAsia"/>
          <w:lang w:val="en-US"/>
        </w:rPr>
        <w:lastRenderedPageBreak/>
        <w:t>Results</w:t>
      </w:r>
    </w:p>
    <w:p w14:paraId="72D81E18" w14:textId="2C9F7B4A" w:rsidR="00791415" w:rsidRPr="00A313DE" w:rsidRDefault="001C2F41" w:rsidP="00DD1B2D">
      <w:pPr>
        <w:rPr>
          <w:lang w:val="en-US"/>
        </w:rPr>
      </w:pPr>
      <w:r w:rsidRPr="00A313DE">
        <w:rPr>
          <w:lang w:val="en-US"/>
        </w:rPr>
        <w:t>When evaluating the different selected companies:</w:t>
      </w:r>
      <w:r w:rsidR="00791415" w:rsidRPr="00A313DE">
        <w:rPr>
          <w:lang w:val="en-US"/>
        </w:rPr>
        <w:t>:</w:t>
      </w:r>
    </w:p>
    <w:p w14:paraId="1D6ADD51" w14:textId="198FBD02" w:rsidR="001C2F41" w:rsidRPr="00A313DE" w:rsidRDefault="001C2F41" w:rsidP="001C2F41">
      <w:pPr>
        <w:pStyle w:val="Prrafodelista"/>
        <w:numPr>
          <w:ilvl w:val="0"/>
          <w:numId w:val="11"/>
        </w:numPr>
        <w:rPr>
          <w:lang w:val="en-US"/>
        </w:rPr>
      </w:pPr>
      <w:r w:rsidRPr="00A313DE">
        <w:rPr>
          <w:lang w:val="en-US"/>
        </w:rPr>
        <w:t>AAPL: Apple Inc. Technology company</w:t>
      </w:r>
    </w:p>
    <w:p w14:paraId="2502C884" w14:textId="225B4713" w:rsidR="001C2F41" w:rsidRPr="00A313DE" w:rsidRDefault="001C2F41" w:rsidP="001C2F41">
      <w:pPr>
        <w:pStyle w:val="Prrafodelista"/>
        <w:numPr>
          <w:ilvl w:val="0"/>
          <w:numId w:val="11"/>
        </w:numPr>
        <w:rPr>
          <w:lang w:val="en-US"/>
        </w:rPr>
      </w:pPr>
      <w:r w:rsidRPr="00A313DE">
        <w:rPr>
          <w:lang w:val="en-US"/>
        </w:rPr>
        <w:t>FCX: Freeport-McMoRan Inc. Mining company</w:t>
      </w:r>
    </w:p>
    <w:p w14:paraId="2F589FD6" w14:textId="77777777" w:rsidR="001C2F41" w:rsidRPr="00A313DE" w:rsidRDefault="001C2F41" w:rsidP="001C2F41">
      <w:pPr>
        <w:pStyle w:val="Prrafodelista"/>
        <w:numPr>
          <w:ilvl w:val="0"/>
          <w:numId w:val="11"/>
        </w:numPr>
        <w:rPr>
          <w:lang w:val="en-US"/>
        </w:rPr>
      </w:pPr>
      <w:r w:rsidRPr="00A313DE">
        <w:rPr>
          <w:lang w:val="en-US"/>
        </w:rPr>
        <w:t>NFLX: Netflix, Inc. Entertainment company</w:t>
      </w:r>
    </w:p>
    <w:p w14:paraId="5C1B9718" w14:textId="3F5808DB" w:rsidR="00791415" w:rsidRPr="00A313DE" w:rsidRDefault="00791415" w:rsidP="001C2F41">
      <w:pPr>
        <w:jc w:val="center"/>
        <w:rPr>
          <w:lang w:val="en-US"/>
        </w:rPr>
      </w:pPr>
      <w:r w:rsidRPr="00A313DE">
        <w:rPr>
          <w:lang w:val="en-US"/>
        </w:rPr>
        <w:drawing>
          <wp:inline distT="0" distB="0" distL="0" distR="0" wp14:anchorId="7E60A3D9" wp14:editId="3C8B9E74">
            <wp:extent cx="5400000" cy="2517312"/>
            <wp:effectExtent l="0" t="0" r="0" b="0"/>
            <wp:docPr id="76388177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81774" name="Imagen 1" descr="Gráfico&#10;&#10;El contenido generado por IA puede ser incorrecto."/>
                    <pic:cNvPicPr/>
                  </pic:nvPicPr>
                  <pic:blipFill>
                    <a:blip r:embed="rId10"/>
                    <a:stretch>
                      <a:fillRect/>
                    </a:stretch>
                  </pic:blipFill>
                  <pic:spPr>
                    <a:xfrm>
                      <a:off x="0" y="0"/>
                      <a:ext cx="5400000" cy="2517312"/>
                    </a:xfrm>
                    <a:prstGeom prst="rect">
                      <a:avLst/>
                    </a:prstGeom>
                  </pic:spPr>
                </pic:pic>
              </a:graphicData>
            </a:graphic>
          </wp:inline>
        </w:drawing>
      </w:r>
    </w:p>
    <w:p w14:paraId="4F4B2048" w14:textId="77777777" w:rsidR="001C2F41" w:rsidRPr="00A313DE" w:rsidRDefault="001C2F41" w:rsidP="001C2F41">
      <w:pPr>
        <w:rPr>
          <w:rFonts w:eastAsiaTheme="minorEastAsia"/>
          <w:iCs/>
          <w:lang w:val="en-US"/>
        </w:rPr>
      </w:pPr>
      <w:r w:rsidRPr="00A313DE">
        <w:rPr>
          <w:rFonts w:eastAsiaTheme="minorEastAsia"/>
          <w:iCs/>
          <w:lang w:val="en-US"/>
        </w:rPr>
        <w:t xml:space="preserve">With the results obtained by the original model, the three companies achieved outstanding scores that placed them in the "safe zone," making them eligible for credit (Apple with a Z-Score of 10.4784, Netflix with 9.3915, and FCX with 3.0827). </w:t>
      </w:r>
    </w:p>
    <w:p w14:paraId="0C750C60" w14:textId="3FEB0BB4" w:rsidR="001C2F41" w:rsidRPr="00A313DE" w:rsidRDefault="001C2F41" w:rsidP="001C2F41">
      <w:pPr>
        <w:rPr>
          <w:rFonts w:eastAsiaTheme="minorEastAsia"/>
          <w:iCs/>
          <w:lang w:val="en-US"/>
        </w:rPr>
      </w:pPr>
      <w:r w:rsidRPr="00A313DE">
        <w:rPr>
          <w:rFonts w:eastAsiaTheme="minorEastAsia"/>
          <w:iCs/>
          <w:lang w:val="en-US"/>
        </w:rPr>
        <w:t xml:space="preserve">However, the situation changes when the Altman Z-Score model is applied, which was initially designed for emerging markets or non-manufacturing companies. Since this model eliminates sector bias, companies like Apple and FCX drop in the rankings with scores of 2.3078 and 2.4570, respectively, which makes sense considering that this model </w:t>
      </w:r>
      <w:r w:rsidR="00A313DE" w:rsidRPr="00A313DE">
        <w:rPr>
          <w:rFonts w:eastAsiaTheme="minorEastAsia"/>
          <w:iCs/>
          <w:lang w:val="en-US"/>
        </w:rPr>
        <w:t>does not</w:t>
      </w:r>
      <w:r w:rsidRPr="00A313DE">
        <w:rPr>
          <w:rFonts w:eastAsiaTheme="minorEastAsia"/>
          <w:iCs/>
          <w:lang w:val="en-US"/>
        </w:rPr>
        <w:t xml:space="preserve"> fit their characteristics as companies. Interestingly, Netflix remains in the safe zone with a score of 5.3158.</w:t>
      </w:r>
    </w:p>
    <w:p w14:paraId="63318625" w14:textId="10223C6E" w:rsidR="00412125" w:rsidRPr="00A313DE" w:rsidRDefault="00791415" w:rsidP="001C2F41">
      <w:pPr>
        <w:rPr>
          <w:rFonts w:eastAsiaTheme="minorEastAsia"/>
          <w:iCs/>
          <w:lang w:val="en-US"/>
        </w:rPr>
      </w:pPr>
      <w:r w:rsidRPr="00A313DE">
        <w:rPr>
          <w:rFonts w:eastAsiaTheme="minorEastAsia"/>
          <w:iCs/>
          <w:lang w:val="en-US"/>
        </w:rPr>
        <w:lastRenderedPageBreak/>
        <w:drawing>
          <wp:inline distT="0" distB="0" distL="0" distR="0" wp14:anchorId="6E66BB59" wp14:editId="2E14A392">
            <wp:extent cx="5400000" cy="2546640"/>
            <wp:effectExtent l="0" t="0" r="0" b="6350"/>
            <wp:docPr id="93570414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04145" name="Imagen 1" descr="Gráfico&#10;&#10;El contenido generado por IA puede ser incorrecto."/>
                    <pic:cNvPicPr/>
                  </pic:nvPicPr>
                  <pic:blipFill>
                    <a:blip r:embed="rId11"/>
                    <a:stretch>
                      <a:fillRect/>
                    </a:stretch>
                  </pic:blipFill>
                  <pic:spPr>
                    <a:xfrm>
                      <a:off x="0" y="0"/>
                      <a:ext cx="5400000" cy="2546640"/>
                    </a:xfrm>
                    <a:prstGeom prst="rect">
                      <a:avLst/>
                    </a:prstGeom>
                  </pic:spPr>
                </pic:pic>
              </a:graphicData>
            </a:graphic>
          </wp:inline>
        </w:drawing>
      </w:r>
    </w:p>
    <w:p w14:paraId="6AA64F76" w14:textId="7371767E" w:rsidR="003C70DE" w:rsidRPr="00A313DE" w:rsidRDefault="001C2F41" w:rsidP="003C70DE">
      <w:pPr>
        <w:rPr>
          <w:rFonts w:eastAsiaTheme="minorEastAsia"/>
          <w:iCs/>
          <w:lang w:val="en-US"/>
        </w:rPr>
      </w:pPr>
      <w:r w:rsidRPr="00A313DE">
        <w:rPr>
          <w:rFonts w:eastAsiaTheme="minorEastAsia"/>
          <w:iCs/>
          <w:lang w:val="en-US"/>
        </w:rPr>
        <w:t>N</w:t>
      </w:r>
      <w:r w:rsidRPr="00A313DE">
        <w:rPr>
          <w:rFonts w:eastAsiaTheme="minorEastAsia"/>
          <w:iCs/>
          <w:lang w:val="en-US"/>
        </w:rPr>
        <w:t xml:space="preserve">ow, from a market perspective, Merton's model </w:t>
      </w:r>
      <w:r w:rsidR="00A313DE" w:rsidRPr="00A313DE">
        <w:rPr>
          <w:rFonts w:eastAsiaTheme="minorEastAsia"/>
          <w:iCs/>
          <w:lang w:val="en-US"/>
        </w:rPr>
        <w:t>has yielded</w:t>
      </w:r>
      <w:r w:rsidRPr="00A313DE">
        <w:rPr>
          <w:rFonts w:eastAsiaTheme="minorEastAsia"/>
          <w:iCs/>
          <w:lang w:val="en-US"/>
        </w:rPr>
        <w:t xml:space="preserve"> quite positive results for all three companies.</w:t>
      </w:r>
      <w:r w:rsidR="003C70DE" w:rsidRPr="00A313DE">
        <w:rPr>
          <w:rFonts w:eastAsiaTheme="minorEastAsia"/>
          <w:iCs/>
          <w:lang w:val="en-US"/>
        </w:rPr>
        <w:t xml:space="preserve"> </w:t>
      </w:r>
    </w:p>
    <w:p w14:paraId="7C1C9583" w14:textId="71678B99" w:rsidR="003C70DE" w:rsidRPr="00A313DE" w:rsidRDefault="003C70DE" w:rsidP="003C70DE">
      <w:pPr>
        <w:jc w:val="center"/>
        <w:rPr>
          <w:rFonts w:eastAsiaTheme="minorEastAsia"/>
          <w:iCs/>
          <w:lang w:val="en-US"/>
        </w:rPr>
      </w:pPr>
      <w:r w:rsidRPr="00A313DE">
        <w:rPr>
          <w:rFonts w:eastAsiaTheme="minorEastAsia"/>
          <w:iCs/>
          <w:lang w:val="en-US"/>
        </w:rPr>
        <w:drawing>
          <wp:inline distT="0" distB="0" distL="0" distR="0" wp14:anchorId="2C63679E" wp14:editId="369D647A">
            <wp:extent cx="5400000" cy="2566802"/>
            <wp:effectExtent l="0" t="0" r="0" b="5080"/>
            <wp:docPr id="9742232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2326" name="Imagen 1" descr="Gráfico&#10;&#10;El contenido generado por IA puede ser incorrecto."/>
                    <pic:cNvPicPr/>
                  </pic:nvPicPr>
                  <pic:blipFill>
                    <a:blip r:embed="rId12"/>
                    <a:stretch>
                      <a:fillRect/>
                    </a:stretch>
                  </pic:blipFill>
                  <pic:spPr>
                    <a:xfrm>
                      <a:off x="0" y="0"/>
                      <a:ext cx="5400000" cy="2566802"/>
                    </a:xfrm>
                    <a:prstGeom prst="rect">
                      <a:avLst/>
                    </a:prstGeom>
                  </pic:spPr>
                </pic:pic>
              </a:graphicData>
            </a:graphic>
          </wp:inline>
        </w:drawing>
      </w:r>
    </w:p>
    <w:p w14:paraId="421E33DD" w14:textId="42BEB228" w:rsidR="003C70DE" w:rsidRPr="00A313DE" w:rsidRDefault="001C2F41" w:rsidP="003C70DE">
      <w:pPr>
        <w:rPr>
          <w:rFonts w:eastAsiaTheme="minorEastAsia"/>
          <w:iCs/>
          <w:lang w:val="en-US"/>
        </w:rPr>
      </w:pPr>
      <w:r w:rsidRPr="00A313DE">
        <w:rPr>
          <w:rFonts w:eastAsiaTheme="minorEastAsia"/>
          <w:iCs/>
          <w:lang w:val="en-US"/>
        </w:rPr>
        <w:t>T</w:t>
      </w:r>
      <w:r w:rsidRPr="00A313DE">
        <w:rPr>
          <w:rFonts w:eastAsiaTheme="minorEastAsia"/>
          <w:iCs/>
          <w:lang w:val="en-US"/>
        </w:rPr>
        <w:t>his also makes sense considering the size of the companies and that the analysis period was set at a single year. More specifically, Apple has a massive DD of 11.76, while FCX shows the lowest DD (4.78) due to its higher asset volatility (46.48%) and highest market leverage (10.06%) within the group. However, despite its higher volatility, its insolvency risk is still considered "safe" in the short term.</w:t>
      </w:r>
    </w:p>
    <w:p w14:paraId="679001AE" w14:textId="111CACAA" w:rsidR="003C70DE" w:rsidRPr="00A313DE" w:rsidRDefault="003C70DE" w:rsidP="003C70DE">
      <w:pPr>
        <w:jc w:val="center"/>
        <w:rPr>
          <w:rFonts w:eastAsiaTheme="minorEastAsia"/>
          <w:iCs/>
          <w:lang w:val="en-US"/>
        </w:rPr>
      </w:pPr>
      <w:r w:rsidRPr="00A313DE">
        <w:rPr>
          <w:rFonts w:eastAsiaTheme="minorEastAsia"/>
          <w:iCs/>
          <w:lang w:val="en-US"/>
        </w:rPr>
        <w:lastRenderedPageBreak/>
        <w:drawing>
          <wp:inline distT="0" distB="0" distL="0" distR="0" wp14:anchorId="1418BE24" wp14:editId="0E2AB286">
            <wp:extent cx="5400000" cy="1929532"/>
            <wp:effectExtent l="0" t="0" r="0" b="0"/>
            <wp:docPr id="97409995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99955" name="Imagen 1" descr="Interfaz de usuario gráfica, Texto, Aplicación&#10;&#10;El contenido generado por IA puede ser incorrecto."/>
                    <pic:cNvPicPr/>
                  </pic:nvPicPr>
                  <pic:blipFill>
                    <a:blip r:embed="rId13"/>
                    <a:stretch>
                      <a:fillRect/>
                    </a:stretch>
                  </pic:blipFill>
                  <pic:spPr>
                    <a:xfrm>
                      <a:off x="0" y="0"/>
                      <a:ext cx="5400000" cy="1929532"/>
                    </a:xfrm>
                    <a:prstGeom prst="rect">
                      <a:avLst/>
                    </a:prstGeom>
                  </pic:spPr>
                </pic:pic>
              </a:graphicData>
            </a:graphic>
          </wp:inline>
        </w:drawing>
      </w:r>
    </w:p>
    <w:p w14:paraId="45480977" w14:textId="63D4B1DC" w:rsidR="003C70DE" w:rsidRPr="00A313DE" w:rsidRDefault="001C2F41" w:rsidP="003C70DE">
      <w:pPr>
        <w:rPr>
          <w:rFonts w:eastAsiaTheme="minorEastAsia"/>
          <w:iCs/>
          <w:lang w:val="en-US"/>
        </w:rPr>
      </w:pPr>
      <w:r w:rsidRPr="00A313DE">
        <w:rPr>
          <w:rFonts w:eastAsiaTheme="minorEastAsia"/>
          <w:iCs/>
          <w:lang w:val="en-US"/>
        </w:rPr>
        <w:t>W</w:t>
      </w:r>
      <w:r w:rsidRPr="00A313DE">
        <w:rPr>
          <w:rFonts w:eastAsiaTheme="minorEastAsia"/>
          <w:iCs/>
          <w:lang w:val="en-US"/>
        </w:rPr>
        <w:t xml:space="preserve">ith all this in mind, the loan was </w:t>
      </w:r>
      <w:r w:rsidR="00A313DE" w:rsidRPr="00A313DE">
        <w:rPr>
          <w:rFonts w:eastAsiaTheme="minorEastAsia"/>
          <w:iCs/>
          <w:lang w:val="en-US"/>
        </w:rPr>
        <w:t>approved</w:t>
      </w:r>
      <w:r w:rsidRPr="00A313DE">
        <w:rPr>
          <w:rFonts w:eastAsiaTheme="minorEastAsia"/>
          <w:iCs/>
          <w:lang w:val="en-US"/>
        </w:rPr>
        <w:t xml:space="preserve"> for all three companies, following the rule that at least one Altman model and one Merton model must classify the company as being in a "safe zone."</w:t>
      </w:r>
    </w:p>
    <w:p w14:paraId="182D1AFE" w14:textId="77777777" w:rsidR="003C70DE" w:rsidRPr="00A313DE" w:rsidRDefault="003C70DE" w:rsidP="003C70DE">
      <w:pPr>
        <w:rPr>
          <w:rFonts w:eastAsiaTheme="minorEastAsia"/>
          <w:iCs/>
          <w:lang w:val="en-US"/>
        </w:rPr>
      </w:pPr>
    </w:p>
    <w:p w14:paraId="4980AE93" w14:textId="4F92BCFC" w:rsidR="003C70DE" w:rsidRPr="00A313DE" w:rsidRDefault="003C70DE" w:rsidP="003C70DE">
      <w:pPr>
        <w:pStyle w:val="Ttulo1"/>
        <w:rPr>
          <w:rFonts w:eastAsiaTheme="minorEastAsia"/>
          <w:lang w:val="en-US"/>
        </w:rPr>
      </w:pPr>
      <w:r w:rsidRPr="00A313DE">
        <w:rPr>
          <w:rFonts w:eastAsiaTheme="minorEastAsia"/>
          <w:lang w:val="en-US"/>
        </w:rPr>
        <w:t>Conclusi</w:t>
      </w:r>
      <w:r w:rsidR="001C2F41" w:rsidRPr="00A313DE">
        <w:rPr>
          <w:rFonts w:eastAsiaTheme="minorEastAsia"/>
          <w:lang w:val="en-US"/>
        </w:rPr>
        <w:t>o</w:t>
      </w:r>
      <w:r w:rsidRPr="00A313DE">
        <w:rPr>
          <w:rFonts w:eastAsiaTheme="minorEastAsia"/>
          <w:lang w:val="en-US"/>
        </w:rPr>
        <w:t>n:</w:t>
      </w:r>
    </w:p>
    <w:p w14:paraId="697DF850" w14:textId="450A10C1" w:rsidR="003C70DE" w:rsidRPr="00A313DE" w:rsidRDefault="001C2F41" w:rsidP="001C2F41">
      <w:pPr>
        <w:rPr>
          <w:rStyle w:val="Ttulo2Car"/>
          <w:b w:val="0"/>
          <w:bCs/>
          <w:szCs w:val="28"/>
          <w:lang w:val="en-US"/>
        </w:rPr>
      </w:pPr>
      <w:r w:rsidRPr="00A313DE">
        <w:rPr>
          <w:rStyle w:val="Ttulo2Car"/>
          <w:b w:val="0"/>
          <w:bCs/>
          <w:szCs w:val="28"/>
          <w:lang w:val="en-US"/>
        </w:rPr>
        <w:t xml:space="preserve">The pronounced difference between the results of the three models for a company like Apple demonstrates why it is important to have a variety of models available </w:t>
      </w:r>
      <w:r w:rsidR="00A313DE" w:rsidRPr="00A313DE">
        <w:rPr>
          <w:rStyle w:val="Ttulo2Car"/>
          <w:b w:val="0"/>
          <w:bCs/>
          <w:szCs w:val="28"/>
          <w:lang w:val="en-US"/>
        </w:rPr>
        <w:t>and</w:t>
      </w:r>
      <w:r w:rsidRPr="00A313DE">
        <w:rPr>
          <w:rStyle w:val="Ttulo2Car"/>
          <w:b w:val="0"/>
          <w:bCs/>
          <w:szCs w:val="28"/>
          <w:lang w:val="en-US"/>
        </w:rPr>
        <w:t xml:space="preserve"> why it is necessary to apply the correct model according to the nature of the company. On the one hand, it is clear how the original Altman model gives significant weight to asset turnover, which, when applied to a technology company like Apple, generates high scores, creating a false impression of absolute security or stability. On the other hand, when compared with other models that work differently and eliminate some biases, it is clear that the scores still vary, which suggests that risk assessment cannot depend entirely on a single formula that works universally. What is truly important is not to </w:t>
      </w:r>
      <w:r w:rsidR="00A313DE" w:rsidRPr="00A313DE">
        <w:rPr>
          <w:rStyle w:val="Ttulo2Car"/>
          <w:b w:val="0"/>
          <w:bCs/>
          <w:szCs w:val="28"/>
          <w:lang w:val="en-US"/>
        </w:rPr>
        <w:t>concentrate</w:t>
      </w:r>
      <w:r w:rsidRPr="00A313DE">
        <w:rPr>
          <w:rStyle w:val="Ttulo2Car"/>
          <w:b w:val="0"/>
          <w:bCs/>
          <w:szCs w:val="28"/>
          <w:lang w:val="en-US"/>
        </w:rPr>
        <w:t xml:space="preserve"> on a single model and to conduct a truly informed analysis that considers as much observable data as possible from a company, as well as different perspectives, before issuing a judgment.</w:t>
      </w:r>
      <w:r w:rsidR="003C70DE" w:rsidRPr="00A313DE">
        <w:rPr>
          <w:rStyle w:val="Ttulo2Car"/>
          <w:b w:val="0"/>
          <w:bCs/>
          <w:szCs w:val="28"/>
          <w:lang w:val="en-US"/>
        </w:rPr>
        <w:br w:type="page"/>
      </w:r>
    </w:p>
    <w:p w14:paraId="6CCA7922" w14:textId="157FF8F1" w:rsidR="0009018D" w:rsidRPr="00A313DE" w:rsidRDefault="00F26C40" w:rsidP="003C70DE">
      <w:pPr>
        <w:pStyle w:val="Ttulo1"/>
        <w:rPr>
          <w:lang w:val="en-US"/>
        </w:rPr>
      </w:pPr>
      <w:r w:rsidRPr="00A313DE">
        <w:rPr>
          <w:rStyle w:val="Ttulo2Car"/>
          <w:rFonts w:cs="Times New Roman"/>
          <w:b/>
          <w:sz w:val="28"/>
          <w:szCs w:val="48"/>
          <w:lang w:val="en-US"/>
        </w:rPr>
        <w:lastRenderedPageBreak/>
        <w:t>References</w:t>
      </w:r>
      <w:r w:rsidRPr="00A313DE">
        <w:rPr>
          <w:lang w:val="en-US"/>
        </w:rPr>
        <w:t>:</w:t>
      </w:r>
    </w:p>
    <w:p w14:paraId="1DD23740" w14:textId="402BF012" w:rsidR="007550C3" w:rsidRPr="00A313DE" w:rsidRDefault="00CC7ECB" w:rsidP="007550C3">
      <w:pPr>
        <w:pStyle w:val="Prrafodelista"/>
        <w:numPr>
          <w:ilvl w:val="0"/>
          <w:numId w:val="9"/>
        </w:numPr>
        <w:spacing w:line="240" w:lineRule="auto"/>
        <w:rPr>
          <w:rFonts w:cs="Arial"/>
          <w:szCs w:val="24"/>
          <w:lang w:val="en-US"/>
        </w:rPr>
      </w:pPr>
      <w:r w:rsidRPr="00A313DE">
        <w:rPr>
          <w:rFonts w:cs="Arial"/>
          <w:szCs w:val="24"/>
          <w:lang w:val="en-US"/>
        </w:rPr>
        <w:t>Pantoja-Aguilar, Martín P., Pizano-Ramírez, Guadalupe de Montserrat, Lerma-Torres, Berenice, &amp; Zavala-Vargas, Miguel Ángel. (2021). Testing Altman’s Z’’-Score to assess the level of accuracy of the model in Mexican companies. </w:t>
      </w:r>
      <w:r w:rsidRPr="00A313DE">
        <w:rPr>
          <w:rFonts w:cs="Arial"/>
          <w:i/>
          <w:iCs/>
          <w:szCs w:val="24"/>
          <w:lang w:val="en-US"/>
        </w:rPr>
        <w:t>Nova scientia</w:t>
      </w:r>
      <w:r w:rsidRPr="00A313DE">
        <w:rPr>
          <w:rFonts w:cs="Arial"/>
          <w:szCs w:val="24"/>
          <w:lang w:val="en-US"/>
        </w:rPr>
        <w:t>, </w:t>
      </w:r>
      <w:r w:rsidRPr="00A313DE">
        <w:rPr>
          <w:rFonts w:cs="Arial"/>
          <w:i/>
          <w:iCs/>
          <w:szCs w:val="24"/>
          <w:lang w:val="en-US"/>
        </w:rPr>
        <w:t>13</w:t>
      </w:r>
      <w:r w:rsidRPr="00A313DE">
        <w:rPr>
          <w:rFonts w:cs="Arial"/>
          <w:szCs w:val="24"/>
          <w:lang w:val="en-US"/>
        </w:rPr>
        <w:t>(27), 00019. Epub 21 de febrero de 2022.</w:t>
      </w:r>
      <w:hyperlink r:id="rId14" w:history="1">
        <w:r w:rsidRPr="00A313DE">
          <w:rPr>
            <w:rStyle w:val="Hipervnculo"/>
            <w:rFonts w:cs="Arial"/>
            <w:szCs w:val="24"/>
            <w:lang w:val="en-US"/>
          </w:rPr>
          <w:t>https://doi.org/10.21640/ns.v13i27.2881</w:t>
        </w:r>
      </w:hyperlink>
    </w:p>
    <w:p w14:paraId="17B2EA92" w14:textId="55DEDA4C" w:rsidR="001C2F41" w:rsidRPr="00A313DE" w:rsidRDefault="001C2F41" w:rsidP="001C2F41">
      <w:pPr>
        <w:pStyle w:val="Prrafodelista"/>
        <w:numPr>
          <w:ilvl w:val="0"/>
          <w:numId w:val="9"/>
        </w:numPr>
        <w:spacing w:line="240" w:lineRule="auto"/>
        <w:rPr>
          <w:rFonts w:cs="Arial"/>
          <w:szCs w:val="24"/>
          <w:lang w:val="en-US"/>
        </w:rPr>
      </w:pPr>
      <w:r w:rsidRPr="00A313DE">
        <w:rPr>
          <w:rFonts w:cs="Arial"/>
          <w:szCs w:val="24"/>
          <w:lang w:val="en-US"/>
        </w:rPr>
        <w:t>Benos, A., &amp; Papanastasopoulos, G. (2007). Extending the Merton model: A hybrid approach to assessing credit quality. Mathematical and Computer Modelling, 46(1-2), 47–68. https://www.sciencedirect.com/science/article/pii/S089571770700026X</w:t>
      </w:r>
    </w:p>
    <w:p w14:paraId="610F35AF" w14:textId="78C133D2" w:rsidR="001C2F41" w:rsidRPr="00A313DE" w:rsidRDefault="001C2F41" w:rsidP="001C2F41">
      <w:pPr>
        <w:pStyle w:val="Prrafodelista"/>
        <w:numPr>
          <w:ilvl w:val="0"/>
          <w:numId w:val="9"/>
        </w:numPr>
        <w:spacing w:line="240" w:lineRule="auto"/>
        <w:rPr>
          <w:rFonts w:cs="Arial"/>
          <w:szCs w:val="24"/>
          <w:lang w:val="en-US"/>
        </w:rPr>
      </w:pPr>
      <w:r w:rsidRPr="00A313DE">
        <w:rPr>
          <w:rFonts w:cs="Arial"/>
          <w:szCs w:val="24"/>
          <w:lang w:val="en-US"/>
        </w:rPr>
        <w:t>Kenton, W. (2024, 30 de mayo). Altman Z-Score: What it is, formula, how to interpret results. Investopedia. https://www.investopedia.com/terms/a/altman.asp</w:t>
      </w:r>
    </w:p>
    <w:p w14:paraId="415CFF38" w14:textId="4515824F" w:rsidR="001C2F41" w:rsidRPr="00A313DE" w:rsidRDefault="001C2F41" w:rsidP="001C2F41">
      <w:pPr>
        <w:pStyle w:val="Prrafodelista"/>
        <w:numPr>
          <w:ilvl w:val="0"/>
          <w:numId w:val="9"/>
        </w:numPr>
        <w:spacing w:line="240" w:lineRule="auto"/>
        <w:rPr>
          <w:rFonts w:cs="Arial"/>
          <w:szCs w:val="24"/>
          <w:lang w:val="en-US"/>
        </w:rPr>
      </w:pPr>
      <w:r w:rsidRPr="00A313DE">
        <w:rPr>
          <w:rFonts w:cs="Arial"/>
          <w:szCs w:val="24"/>
          <w:lang w:val="en-US"/>
        </w:rPr>
        <w:t>Slay, R. (2023). Altman Z-Score Presentation [Diapositivas de PowerPoint]. ITESO - Universidad Jesuita de Guadalajara.</w:t>
      </w:r>
    </w:p>
    <w:p w14:paraId="54D5D647" w14:textId="27B7EB00" w:rsidR="00F26C40" w:rsidRPr="00A313DE" w:rsidRDefault="001C2F41" w:rsidP="001C2F41">
      <w:pPr>
        <w:pStyle w:val="Prrafodelista"/>
        <w:numPr>
          <w:ilvl w:val="0"/>
          <w:numId w:val="9"/>
        </w:numPr>
        <w:spacing w:line="240" w:lineRule="auto"/>
        <w:rPr>
          <w:rFonts w:cs="Arial"/>
          <w:szCs w:val="24"/>
          <w:lang w:val="en-US"/>
        </w:rPr>
      </w:pPr>
      <w:r w:rsidRPr="00A313DE">
        <w:rPr>
          <w:rFonts w:cs="Arial"/>
          <w:szCs w:val="24"/>
          <w:lang w:val="en-US"/>
        </w:rPr>
        <w:t>Slay, R. (2023). Merton model KMV: An introductory overview of the Merton model [Diapositivas de PowerPoint]. ITESO - Universidad Jesuita de Guadalajara.</w:t>
      </w:r>
    </w:p>
    <w:sectPr w:rsidR="00F26C40" w:rsidRPr="00A313DE" w:rsidSect="00E67B7C">
      <w:headerReference w:type="first" r:id="rId15"/>
      <w:footerReference w:type="first" r:id="rId16"/>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2BA34" w14:textId="77777777" w:rsidR="005A33CC" w:rsidRDefault="005A33CC" w:rsidP="00E67B7C">
      <w:pPr>
        <w:spacing w:after="0" w:line="240" w:lineRule="auto"/>
      </w:pPr>
      <w:r>
        <w:separator/>
      </w:r>
    </w:p>
  </w:endnote>
  <w:endnote w:type="continuationSeparator" w:id="0">
    <w:p w14:paraId="5ABBB8F7" w14:textId="77777777" w:rsidR="005A33CC" w:rsidRDefault="005A33CC" w:rsidP="00E67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D8CF5" w14:textId="77777777" w:rsidR="00E67B7C" w:rsidRDefault="00E67B7C">
    <w:pPr>
      <w:pStyle w:val="Piedepgina"/>
    </w:pPr>
    <w:r>
      <w:rPr>
        <w:noProof/>
      </w:rPr>
      <w:drawing>
        <wp:anchor distT="0" distB="0" distL="114300" distR="114300" simplePos="0" relativeHeight="251659264" behindDoc="1" locked="0" layoutInCell="1" allowOverlap="1" wp14:anchorId="51642B65" wp14:editId="0AE1AD97">
          <wp:simplePos x="0" y="0"/>
          <wp:positionH relativeFrom="margin">
            <wp:align>center</wp:align>
          </wp:positionH>
          <wp:positionV relativeFrom="paragraph">
            <wp:posOffset>-111009</wp:posOffset>
          </wp:positionV>
          <wp:extent cx="681355" cy="557530"/>
          <wp:effectExtent l="0" t="0" r="4445" b="0"/>
          <wp:wrapTight wrapText="bothSides">
            <wp:wrapPolygon edited="0">
              <wp:start x="6643" y="0"/>
              <wp:lineTo x="4227" y="3690"/>
              <wp:lineTo x="4227" y="7380"/>
              <wp:lineTo x="6039" y="11809"/>
              <wp:lineTo x="0" y="15499"/>
              <wp:lineTo x="0" y="20665"/>
              <wp:lineTo x="21137" y="20665"/>
              <wp:lineTo x="21137" y="15499"/>
              <wp:lineTo x="16910" y="9595"/>
              <wp:lineTo x="16910" y="4428"/>
              <wp:lineTo x="14494" y="0"/>
              <wp:lineTo x="6643" y="0"/>
            </wp:wrapPolygon>
          </wp:wrapTight>
          <wp:docPr id="1"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1355" cy="55753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2D17B" w14:textId="77777777" w:rsidR="005A33CC" w:rsidRDefault="005A33CC" w:rsidP="00E67B7C">
      <w:pPr>
        <w:spacing w:after="0" w:line="240" w:lineRule="auto"/>
      </w:pPr>
      <w:r>
        <w:separator/>
      </w:r>
    </w:p>
  </w:footnote>
  <w:footnote w:type="continuationSeparator" w:id="0">
    <w:p w14:paraId="5ADF2548" w14:textId="77777777" w:rsidR="005A33CC" w:rsidRDefault="005A33CC" w:rsidP="00E67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21062" w14:textId="1B6D6190" w:rsidR="00E67B7C" w:rsidRPr="00E67B7C" w:rsidRDefault="00131371" w:rsidP="00D30221">
    <w:pPr>
      <w:pStyle w:val="Encabezado"/>
      <w:tabs>
        <w:tab w:val="left" w:pos="7425"/>
      </w:tabs>
      <w:rPr>
        <w:rFonts w:cs="Arial"/>
        <w:szCs w:val="24"/>
      </w:rPr>
    </w:pPr>
    <w:r>
      <w:rPr>
        <w:rFonts w:cs="Arial"/>
        <w:szCs w:val="24"/>
      </w:rPr>
      <w:t>Spring</w:t>
    </w:r>
    <w:r w:rsidR="008A52C1">
      <w:rPr>
        <w:rFonts w:cs="Arial"/>
        <w:szCs w:val="24"/>
      </w:rPr>
      <w:t xml:space="preserve"> 2026</w:t>
    </w:r>
    <w:r w:rsidR="00D30221">
      <w:rPr>
        <w:rFonts w:cs="Arial"/>
        <w:szCs w:val="24"/>
      </w:rPr>
      <w:tab/>
    </w:r>
    <w:r w:rsidR="00D30221">
      <w:rPr>
        <w:rFonts w:cs="Arial"/>
        <w:szCs w:val="24"/>
      </w:rPr>
      <w:tab/>
    </w:r>
    <w:r w:rsidR="007550C3">
      <w:rPr>
        <w:rFonts w:cs="Arial"/>
        <w:szCs w:val="24"/>
      </w:rPr>
      <w:t>23</w:t>
    </w:r>
    <w:r w:rsidR="00E67B7C" w:rsidRPr="00941A29">
      <w:rPr>
        <w:rFonts w:cs="Arial"/>
        <w:szCs w:val="24"/>
      </w:rPr>
      <w:t>/</w:t>
    </w:r>
    <w:r w:rsidR="008A52C1">
      <w:rPr>
        <w:rFonts w:cs="Arial"/>
        <w:szCs w:val="24"/>
      </w:rPr>
      <w:t>02</w:t>
    </w:r>
    <w:r w:rsidR="00E67B7C" w:rsidRPr="00941A29">
      <w:rPr>
        <w:rFonts w:cs="Arial"/>
        <w:szCs w:val="24"/>
      </w:rPr>
      <w:t>/202</w:t>
    </w:r>
    <w:r w:rsidR="008A52C1">
      <w:rPr>
        <w:rFonts w:cs="Arial"/>
        <w:szCs w:val="24"/>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973"/>
    <w:multiLevelType w:val="hybridMultilevel"/>
    <w:tmpl w:val="911418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6A53C47"/>
    <w:multiLevelType w:val="hybridMultilevel"/>
    <w:tmpl w:val="24621114"/>
    <w:lvl w:ilvl="0" w:tplc="ECEEEA2C">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C46473C"/>
    <w:multiLevelType w:val="multilevel"/>
    <w:tmpl w:val="1B4E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62095A"/>
    <w:multiLevelType w:val="hybridMultilevel"/>
    <w:tmpl w:val="05E2142A"/>
    <w:lvl w:ilvl="0" w:tplc="96CA702E">
      <w:numFmt w:val="bullet"/>
      <w:lvlText w:val="-"/>
      <w:lvlJc w:val="left"/>
      <w:pPr>
        <w:ind w:left="720" w:hanging="360"/>
      </w:pPr>
      <w:rPr>
        <w:rFonts w:ascii="Arial" w:eastAsiaTheme="min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5183070"/>
    <w:multiLevelType w:val="hybridMultilevel"/>
    <w:tmpl w:val="08620A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87962CC"/>
    <w:multiLevelType w:val="hybridMultilevel"/>
    <w:tmpl w:val="17707906"/>
    <w:lvl w:ilvl="0" w:tplc="41EA1C54">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9BF2AA5"/>
    <w:multiLevelType w:val="hybridMultilevel"/>
    <w:tmpl w:val="700857EA"/>
    <w:lvl w:ilvl="0" w:tplc="23BA0C68">
      <w:numFmt w:val="bullet"/>
      <w:lvlText w:val="-"/>
      <w:lvlJc w:val="left"/>
      <w:pPr>
        <w:ind w:left="720" w:hanging="360"/>
      </w:pPr>
      <w:rPr>
        <w:rFonts w:ascii="Arial" w:eastAsiaTheme="minorHAnsi"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2300E52"/>
    <w:multiLevelType w:val="multilevel"/>
    <w:tmpl w:val="4A38D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97C6F"/>
    <w:multiLevelType w:val="multilevel"/>
    <w:tmpl w:val="F492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3D40D4"/>
    <w:multiLevelType w:val="multilevel"/>
    <w:tmpl w:val="A35A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717E0"/>
    <w:multiLevelType w:val="hybridMultilevel"/>
    <w:tmpl w:val="2DB2568A"/>
    <w:lvl w:ilvl="0" w:tplc="96CA702E">
      <w:numFmt w:val="bullet"/>
      <w:lvlText w:val="-"/>
      <w:lvlJc w:val="left"/>
      <w:pPr>
        <w:ind w:left="720" w:hanging="360"/>
      </w:pPr>
      <w:rPr>
        <w:rFonts w:ascii="Arial" w:eastAsiaTheme="min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65283846">
    <w:abstractNumId w:val="8"/>
  </w:num>
  <w:num w:numId="2" w16cid:durableId="1159879533">
    <w:abstractNumId w:val="7"/>
  </w:num>
  <w:num w:numId="3" w16cid:durableId="1727601932">
    <w:abstractNumId w:val="0"/>
  </w:num>
  <w:num w:numId="4" w16cid:durableId="1614482410">
    <w:abstractNumId w:val="2"/>
  </w:num>
  <w:num w:numId="5" w16cid:durableId="225603681">
    <w:abstractNumId w:val="6"/>
  </w:num>
  <w:num w:numId="6" w16cid:durableId="690958537">
    <w:abstractNumId w:val="9"/>
  </w:num>
  <w:num w:numId="7" w16cid:durableId="1054088484">
    <w:abstractNumId w:val="5"/>
  </w:num>
  <w:num w:numId="8" w16cid:durableId="719405730">
    <w:abstractNumId w:val="1"/>
  </w:num>
  <w:num w:numId="9" w16cid:durableId="891815107">
    <w:abstractNumId w:val="4"/>
  </w:num>
  <w:num w:numId="10" w16cid:durableId="524363373">
    <w:abstractNumId w:val="3"/>
  </w:num>
  <w:num w:numId="11" w16cid:durableId="4693976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221"/>
    <w:rsid w:val="000103D5"/>
    <w:rsid w:val="0009018D"/>
    <w:rsid w:val="000B0459"/>
    <w:rsid w:val="000E79D2"/>
    <w:rsid w:val="00131371"/>
    <w:rsid w:val="0013364E"/>
    <w:rsid w:val="00141EC8"/>
    <w:rsid w:val="00167688"/>
    <w:rsid w:val="0017686C"/>
    <w:rsid w:val="001822D4"/>
    <w:rsid w:val="001A1E53"/>
    <w:rsid w:val="001B20B9"/>
    <w:rsid w:val="001B505F"/>
    <w:rsid w:val="001C2F41"/>
    <w:rsid w:val="00216F27"/>
    <w:rsid w:val="002226E5"/>
    <w:rsid w:val="00224D01"/>
    <w:rsid w:val="00230D5A"/>
    <w:rsid w:val="002460DD"/>
    <w:rsid w:val="00270C12"/>
    <w:rsid w:val="00271391"/>
    <w:rsid w:val="00276EF7"/>
    <w:rsid w:val="00287A21"/>
    <w:rsid w:val="002A3CE3"/>
    <w:rsid w:val="002A6666"/>
    <w:rsid w:val="002B1DBE"/>
    <w:rsid w:val="002C6D47"/>
    <w:rsid w:val="002E34D7"/>
    <w:rsid w:val="00326693"/>
    <w:rsid w:val="00331712"/>
    <w:rsid w:val="00342C3B"/>
    <w:rsid w:val="00344DE6"/>
    <w:rsid w:val="003521F8"/>
    <w:rsid w:val="00357456"/>
    <w:rsid w:val="00362415"/>
    <w:rsid w:val="00383C42"/>
    <w:rsid w:val="00391AE6"/>
    <w:rsid w:val="003A7F5A"/>
    <w:rsid w:val="003B06DC"/>
    <w:rsid w:val="003B10A6"/>
    <w:rsid w:val="003C2975"/>
    <w:rsid w:val="003C70DE"/>
    <w:rsid w:val="003D577A"/>
    <w:rsid w:val="003D5BA9"/>
    <w:rsid w:val="003F0EF1"/>
    <w:rsid w:val="003F3DB7"/>
    <w:rsid w:val="004110A2"/>
    <w:rsid w:val="00412125"/>
    <w:rsid w:val="00453B10"/>
    <w:rsid w:val="00473232"/>
    <w:rsid w:val="00486502"/>
    <w:rsid w:val="004B325D"/>
    <w:rsid w:val="004C129E"/>
    <w:rsid w:val="004C7479"/>
    <w:rsid w:val="004F40E4"/>
    <w:rsid w:val="005118C3"/>
    <w:rsid w:val="005406DE"/>
    <w:rsid w:val="00540B4D"/>
    <w:rsid w:val="005422F5"/>
    <w:rsid w:val="00552928"/>
    <w:rsid w:val="00576799"/>
    <w:rsid w:val="005A33CC"/>
    <w:rsid w:val="005A795F"/>
    <w:rsid w:val="006123C6"/>
    <w:rsid w:val="00615A3F"/>
    <w:rsid w:val="0062563E"/>
    <w:rsid w:val="00644BFF"/>
    <w:rsid w:val="0065732F"/>
    <w:rsid w:val="006875B5"/>
    <w:rsid w:val="006927C7"/>
    <w:rsid w:val="00696582"/>
    <w:rsid w:val="006A64AC"/>
    <w:rsid w:val="006B03F3"/>
    <w:rsid w:val="006B1744"/>
    <w:rsid w:val="006E4F92"/>
    <w:rsid w:val="006E5994"/>
    <w:rsid w:val="00732E98"/>
    <w:rsid w:val="00744DEC"/>
    <w:rsid w:val="00747C57"/>
    <w:rsid w:val="007550C3"/>
    <w:rsid w:val="00791415"/>
    <w:rsid w:val="00794A67"/>
    <w:rsid w:val="00794B51"/>
    <w:rsid w:val="007C515E"/>
    <w:rsid w:val="00800EAF"/>
    <w:rsid w:val="00826012"/>
    <w:rsid w:val="008313E4"/>
    <w:rsid w:val="008707F9"/>
    <w:rsid w:val="008A4D7D"/>
    <w:rsid w:val="008A52C1"/>
    <w:rsid w:val="008B5649"/>
    <w:rsid w:val="008E2ED9"/>
    <w:rsid w:val="00922D29"/>
    <w:rsid w:val="0093770C"/>
    <w:rsid w:val="0097647C"/>
    <w:rsid w:val="00976B63"/>
    <w:rsid w:val="0098131D"/>
    <w:rsid w:val="00987BD1"/>
    <w:rsid w:val="009A7876"/>
    <w:rsid w:val="009C0BDA"/>
    <w:rsid w:val="009E56C9"/>
    <w:rsid w:val="009E577C"/>
    <w:rsid w:val="009F30FD"/>
    <w:rsid w:val="00A05197"/>
    <w:rsid w:val="00A313DE"/>
    <w:rsid w:val="00A51597"/>
    <w:rsid w:val="00A77A2C"/>
    <w:rsid w:val="00A8228A"/>
    <w:rsid w:val="00A874F2"/>
    <w:rsid w:val="00AA663C"/>
    <w:rsid w:val="00AD020F"/>
    <w:rsid w:val="00AE121F"/>
    <w:rsid w:val="00AE3D69"/>
    <w:rsid w:val="00AF670D"/>
    <w:rsid w:val="00B00D7D"/>
    <w:rsid w:val="00B10CD3"/>
    <w:rsid w:val="00B116B4"/>
    <w:rsid w:val="00B16AC0"/>
    <w:rsid w:val="00B175E6"/>
    <w:rsid w:val="00B22027"/>
    <w:rsid w:val="00B34DBE"/>
    <w:rsid w:val="00B42692"/>
    <w:rsid w:val="00B64D7B"/>
    <w:rsid w:val="00B818D2"/>
    <w:rsid w:val="00BC66D4"/>
    <w:rsid w:val="00BD2A89"/>
    <w:rsid w:val="00BE5C8B"/>
    <w:rsid w:val="00BE617E"/>
    <w:rsid w:val="00BF1F50"/>
    <w:rsid w:val="00BF5880"/>
    <w:rsid w:val="00C31FFF"/>
    <w:rsid w:val="00C44710"/>
    <w:rsid w:val="00C61385"/>
    <w:rsid w:val="00C6387A"/>
    <w:rsid w:val="00C7296D"/>
    <w:rsid w:val="00CB38B6"/>
    <w:rsid w:val="00CC3923"/>
    <w:rsid w:val="00CC7ECB"/>
    <w:rsid w:val="00CE4311"/>
    <w:rsid w:val="00CF3042"/>
    <w:rsid w:val="00CF3F81"/>
    <w:rsid w:val="00D30221"/>
    <w:rsid w:val="00D34454"/>
    <w:rsid w:val="00D403EA"/>
    <w:rsid w:val="00D670A6"/>
    <w:rsid w:val="00D75B73"/>
    <w:rsid w:val="00D81B59"/>
    <w:rsid w:val="00DB6C2E"/>
    <w:rsid w:val="00DD1B2D"/>
    <w:rsid w:val="00DE40CE"/>
    <w:rsid w:val="00DE5DE7"/>
    <w:rsid w:val="00DF20EC"/>
    <w:rsid w:val="00E2414C"/>
    <w:rsid w:val="00E47D8A"/>
    <w:rsid w:val="00E52365"/>
    <w:rsid w:val="00E67B7C"/>
    <w:rsid w:val="00E7173C"/>
    <w:rsid w:val="00EA3CA6"/>
    <w:rsid w:val="00EC5CF1"/>
    <w:rsid w:val="00ED6E62"/>
    <w:rsid w:val="00EF77A8"/>
    <w:rsid w:val="00EF78DC"/>
    <w:rsid w:val="00F06361"/>
    <w:rsid w:val="00F137B2"/>
    <w:rsid w:val="00F23D88"/>
    <w:rsid w:val="00F26C40"/>
    <w:rsid w:val="00F551C2"/>
    <w:rsid w:val="00F92A54"/>
    <w:rsid w:val="00F96165"/>
    <w:rsid w:val="00FA73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CC24D"/>
  <w15:chartTrackingRefBased/>
  <w15:docId w15:val="{722596D9-9C04-4840-9598-A5C10B083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32F"/>
    <w:pPr>
      <w:spacing w:line="360" w:lineRule="auto"/>
      <w:jc w:val="both"/>
    </w:pPr>
    <w:rPr>
      <w:rFonts w:ascii="Arial" w:hAnsi="Arial"/>
      <w:sz w:val="24"/>
    </w:rPr>
  </w:style>
  <w:style w:type="paragraph" w:styleId="Ttulo1">
    <w:name w:val="heading 1"/>
    <w:basedOn w:val="Normal"/>
    <w:link w:val="Ttulo1Car"/>
    <w:uiPriority w:val="9"/>
    <w:qFormat/>
    <w:rsid w:val="008A52C1"/>
    <w:pPr>
      <w:spacing w:before="100" w:beforeAutospacing="1" w:after="100" w:afterAutospacing="1"/>
      <w:outlineLvl w:val="0"/>
    </w:pPr>
    <w:rPr>
      <w:rFonts w:eastAsia="Times New Roman" w:cs="Times New Roman"/>
      <w:b/>
      <w:bCs/>
      <w:kern w:val="36"/>
      <w:sz w:val="28"/>
      <w:szCs w:val="48"/>
      <w:lang w:eastAsia="es-MX"/>
      <w14:ligatures w14:val="none"/>
    </w:rPr>
  </w:style>
  <w:style w:type="paragraph" w:styleId="Ttulo2">
    <w:name w:val="heading 2"/>
    <w:basedOn w:val="Normal"/>
    <w:next w:val="Normal"/>
    <w:link w:val="Ttulo2Car"/>
    <w:uiPriority w:val="9"/>
    <w:unhideWhenUsed/>
    <w:qFormat/>
    <w:rsid w:val="00F551C2"/>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794A67"/>
    <w:pPr>
      <w:keepNext/>
      <w:keepLines/>
      <w:spacing w:before="40" w:after="0"/>
      <w:outlineLvl w:val="2"/>
    </w:pPr>
    <w:rPr>
      <w:rFonts w:eastAsiaTheme="majorEastAsia" w:cstheme="majorBidi"/>
      <w:b/>
      <w:color w:val="2E74B5" w:themeColor="accent5" w:themeShade="BF"/>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7B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7B7C"/>
  </w:style>
  <w:style w:type="paragraph" w:styleId="Piedepgina">
    <w:name w:val="footer"/>
    <w:basedOn w:val="Normal"/>
    <w:link w:val="PiedepginaCar"/>
    <w:uiPriority w:val="99"/>
    <w:unhideWhenUsed/>
    <w:rsid w:val="00E67B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7B7C"/>
  </w:style>
  <w:style w:type="character" w:customStyle="1" w:styleId="Ttulo1Car">
    <w:name w:val="Título 1 Car"/>
    <w:basedOn w:val="Fuentedeprrafopredeter"/>
    <w:link w:val="Ttulo1"/>
    <w:uiPriority w:val="9"/>
    <w:rsid w:val="008A52C1"/>
    <w:rPr>
      <w:rFonts w:ascii="Arial" w:eastAsia="Times New Roman" w:hAnsi="Arial" w:cs="Times New Roman"/>
      <w:b/>
      <w:bCs/>
      <w:kern w:val="36"/>
      <w:sz w:val="28"/>
      <w:szCs w:val="48"/>
      <w:lang w:eastAsia="es-MX"/>
      <w14:ligatures w14:val="none"/>
    </w:rPr>
  </w:style>
  <w:style w:type="paragraph" w:styleId="TtuloTDC">
    <w:name w:val="TOC Heading"/>
    <w:basedOn w:val="Ttulo1"/>
    <w:next w:val="Normal"/>
    <w:uiPriority w:val="39"/>
    <w:unhideWhenUsed/>
    <w:qFormat/>
    <w:rsid w:val="0065732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Ttulo2Car">
    <w:name w:val="Título 2 Car"/>
    <w:basedOn w:val="Fuentedeprrafopredeter"/>
    <w:link w:val="Ttulo2"/>
    <w:uiPriority w:val="9"/>
    <w:rsid w:val="00F551C2"/>
    <w:rPr>
      <w:rFonts w:ascii="Arial" w:eastAsiaTheme="majorEastAsia" w:hAnsi="Arial" w:cstheme="majorBidi"/>
      <w:b/>
      <w:sz w:val="24"/>
      <w:szCs w:val="26"/>
    </w:rPr>
  </w:style>
  <w:style w:type="paragraph" w:styleId="Subttulo">
    <w:name w:val="Subtitle"/>
    <w:basedOn w:val="Normal"/>
    <w:next w:val="Normal"/>
    <w:link w:val="SubttuloCar"/>
    <w:uiPriority w:val="11"/>
    <w:qFormat/>
    <w:rsid w:val="0065732F"/>
    <w:pPr>
      <w:numPr>
        <w:ilvl w:val="1"/>
      </w:numPr>
      <w:jc w:val="center"/>
    </w:pPr>
    <w:rPr>
      <w:rFonts w:eastAsiaTheme="minorEastAsia"/>
      <w:color w:val="5A5A5A" w:themeColor="text1" w:themeTint="A5"/>
      <w:spacing w:val="15"/>
      <w:sz w:val="20"/>
    </w:rPr>
  </w:style>
  <w:style w:type="character" w:customStyle="1" w:styleId="SubttuloCar">
    <w:name w:val="Subtítulo Car"/>
    <w:basedOn w:val="Fuentedeprrafopredeter"/>
    <w:link w:val="Subttulo"/>
    <w:uiPriority w:val="11"/>
    <w:rsid w:val="0065732F"/>
    <w:rPr>
      <w:rFonts w:ascii="Arial" w:eastAsiaTheme="minorEastAsia" w:hAnsi="Arial"/>
      <w:color w:val="5A5A5A" w:themeColor="text1" w:themeTint="A5"/>
      <w:spacing w:val="15"/>
      <w:sz w:val="20"/>
    </w:rPr>
  </w:style>
  <w:style w:type="paragraph" w:styleId="Prrafodelista">
    <w:name w:val="List Paragraph"/>
    <w:basedOn w:val="Normal"/>
    <w:uiPriority w:val="34"/>
    <w:qFormat/>
    <w:rsid w:val="00326693"/>
    <w:pPr>
      <w:ind w:left="720"/>
      <w:contextualSpacing/>
    </w:pPr>
  </w:style>
  <w:style w:type="character" w:styleId="Textodelmarcadordeposicin">
    <w:name w:val="Placeholder Text"/>
    <w:basedOn w:val="Fuentedeprrafopredeter"/>
    <w:uiPriority w:val="99"/>
    <w:semiHidden/>
    <w:rsid w:val="00ED6E62"/>
    <w:rPr>
      <w:color w:val="666666"/>
    </w:rPr>
  </w:style>
  <w:style w:type="paragraph" w:styleId="TDC1">
    <w:name w:val="toc 1"/>
    <w:basedOn w:val="Normal"/>
    <w:next w:val="Normal"/>
    <w:autoRedefine/>
    <w:uiPriority w:val="39"/>
    <w:unhideWhenUsed/>
    <w:rsid w:val="00D670A6"/>
    <w:pPr>
      <w:spacing w:after="100"/>
    </w:pPr>
  </w:style>
  <w:style w:type="paragraph" w:styleId="TDC2">
    <w:name w:val="toc 2"/>
    <w:basedOn w:val="Normal"/>
    <w:next w:val="Normal"/>
    <w:autoRedefine/>
    <w:uiPriority w:val="39"/>
    <w:unhideWhenUsed/>
    <w:rsid w:val="00D670A6"/>
    <w:pPr>
      <w:spacing w:after="100"/>
      <w:ind w:left="240"/>
    </w:pPr>
  </w:style>
  <w:style w:type="character" w:styleId="Hipervnculo">
    <w:name w:val="Hyperlink"/>
    <w:basedOn w:val="Fuentedeprrafopredeter"/>
    <w:uiPriority w:val="99"/>
    <w:unhideWhenUsed/>
    <w:rsid w:val="00D670A6"/>
    <w:rPr>
      <w:color w:val="0563C1" w:themeColor="hyperlink"/>
      <w:u w:val="single"/>
    </w:rPr>
  </w:style>
  <w:style w:type="table" w:styleId="Tablaconcuadrcula2-nfasis3">
    <w:name w:val="Grid Table 2 Accent 3"/>
    <w:basedOn w:val="Tablanormal"/>
    <w:uiPriority w:val="47"/>
    <w:rsid w:val="00391AE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tulo3Car">
    <w:name w:val="Título 3 Car"/>
    <w:basedOn w:val="Fuentedeprrafopredeter"/>
    <w:link w:val="Ttulo3"/>
    <w:uiPriority w:val="9"/>
    <w:rsid w:val="00794A67"/>
    <w:rPr>
      <w:rFonts w:ascii="Arial" w:eastAsiaTheme="majorEastAsia" w:hAnsi="Arial" w:cstheme="majorBidi"/>
      <w:b/>
      <w:color w:val="2E74B5" w:themeColor="accent5" w:themeShade="BF"/>
      <w:sz w:val="24"/>
      <w:szCs w:val="24"/>
    </w:rPr>
  </w:style>
  <w:style w:type="character" w:styleId="Mencinsinresolver">
    <w:name w:val="Unresolved Mention"/>
    <w:basedOn w:val="Fuentedeprrafopredeter"/>
    <w:uiPriority w:val="99"/>
    <w:semiHidden/>
    <w:unhideWhenUsed/>
    <w:rsid w:val="00AE3D69"/>
    <w:rPr>
      <w:color w:val="605E5C"/>
      <w:shd w:val="clear" w:color="auto" w:fill="E1DFDD"/>
    </w:rPr>
  </w:style>
  <w:style w:type="paragraph" w:styleId="HTMLconformatoprevio">
    <w:name w:val="HTML Preformatted"/>
    <w:basedOn w:val="Normal"/>
    <w:link w:val="HTMLconformatoprevioCar"/>
    <w:uiPriority w:val="99"/>
    <w:semiHidden/>
    <w:unhideWhenUsed/>
    <w:rsid w:val="00B2202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B22027"/>
    <w:rPr>
      <w:rFonts w:ascii="Consolas" w:hAnsi="Consolas"/>
      <w:sz w:val="20"/>
      <w:szCs w:val="20"/>
    </w:rPr>
  </w:style>
  <w:style w:type="paragraph" w:styleId="TDC3">
    <w:name w:val="toc 3"/>
    <w:basedOn w:val="Normal"/>
    <w:next w:val="Normal"/>
    <w:autoRedefine/>
    <w:uiPriority w:val="39"/>
    <w:unhideWhenUsed/>
    <w:rsid w:val="00DE40CE"/>
    <w:pPr>
      <w:spacing w:after="100"/>
      <w:ind w:left="480"/>
    </w:pPr>
  </w:style>
  <w:style w:type="table" w:styleId="Tablaconcuadrcula">
    <w:name w:val="Table Grid"/>
    <w:basedOn w:val="Tablanormal"/>
    <w:uiPriority w:val="39"/>
    <w:rsid w:val="00BE5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BE5C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557">
    <w:name w:val="citation-557"/>
    <w:basedOn w:val="Fuentedeprrafopredeter"/>
    <w:rsid w:val="00B10CD3"/>
  </w:style>
  <w:style w:type="character" w:customStyle="1" w:styleId="citation-556">
    <w:name w:val="citation-556"/>
    <w:basedOn w:val="Fuentedeprrafopredeter"/>
    <w:rsid w:val="00B10CD3"/>
  </w:style>
  <w:style w:type="character" w:customStyle="1" w:styleId="math-inline">
    <w:name w:val="math-inline"/>
    <w:basedOn w:val="Fuentedeprrafopredeter"/>
    <w:rsid w:val="00B10CD3"/>
  </w:style>
  <w:style w:type="character" w:customStyle="1" w:styleId="citation-555">
    <w:name w:val="citation-555"/>
    <w:basedOn w:val="Fuentedeprrafopredeter"/>
    <w:rsid w:val="00B10CD3"/>
  </w:style>
  <w:style w:type="character" w:customStyle="1" w:styleId="citation-554">
    <w:name w:val="citation-554"/>
    <w:basedOn w:val="Fuentedeprrafopredeter"/>
    <w:rsid w:val="00B10C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659482">
      <w:bodyDiv w:val="1"/>
      <w:marLeft w:val="0"/>
      <w:marRight w:val="0"/>
      <w:marTop w:val="0"/>
      <w:marBottom w:val="0"/>
      <w:divBdr>
        <w:top w:val="none" w:sz="0" w:space="0" w:color="auto"/>
        <w:left w:val="none" w:sz="0" w:space="0" w:color="auto"/>
        <w:bottom w:val="none" w:sz="0" w:space="0" w:color="auto"/>
        <w:right w:val="none" w:sz="0" w:space="0" w:color="auto"/>
      </w:divBdr>
    </w:div>
    <w:div w:id="212823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21640/ns.v13i27.288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esktop\IF%20Actividad1%20Individual-DavidC.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EE072-BF2D-46FF-B858-9FEA77956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IF Actividad1 Individual-DavidC.dotx</Template>
  <TotalTime>1659</TotalTime>
  <Pages>10</Pages>
  <Words>1510</Words>
  <Characters>8760</Characters>
  <Application>Microsoft Office Word</Application>
  <DocSecurity>0</DocSecurity>
  <Lines>208</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Campos Ambriz</dc:creator>
  <cp:keywords/>
  <dc:description/>
  <cp:lastModifiedBy>CAMPOS AMBRIZ, DAVID</cp:lastModifiedBy>
  <cp:revision>31</cp:revision>
  <cp:lastPrinted>2026-02-06T21:00:00Z</cp:lastPrinted>
  <dcterms:created xsi:type="dcterms:W3CDTF">2025-11-15T00:59:00Z</dcterms:created>
  <dcterms:modified xsi:type="dcterms:W3CDTF">2026-02-24T01:31:00Z</dcterms:modified>
</cp:coreProperties>
</file>