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8f9fa"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Ampliar el proyecto de visualización que se ha ido diseñando en las diferentes tareas del curso. La historia puede apoyarse en el trabajo realizado en las tareas resueltas en el desarrollo de la asignatura. Las visualizaciones se deben realizar con el propósito de “contar una historia basada en datos”. El proyecto debe construirse siguiendo los principios de DataOps y las visualizaciones estar construidas en base a la gramática de gráficos y seguir las recomendaciones de diseño. Se debe incluir mapas al nivel de sección, para ello se proporcionan los geoJSON. Se valora la realización del mismo según los contenidos de la asignatura, la originalidad y la complejidad que conlleve la síntesis de los datos. </w:t>
      </w:r>
    </w:p>
    <w:p w:rsidR="00000000" w:rsidDel="00000000" w:rsidP="00000000" w:rsidRDefault="00000000" w:rsidRPr="00000000" w14:paraId="00000002">
      <w:pPr>
        <w:shd w:fill="f8f9fa"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Será necesario crear un informe donde se expliquen aspectos sobre el diseño de los gráficos basándose en la información proporcionada en las clases de teoría desde el punto de vista:</w:t>
      </w:r>
    </w:p>
    <w:p w:rsidR="00000000" w:rsidDel="00000000" w:rsidP="00000000" w:rsidRDefault="00000000" w:rsidRPr="00000000" w14:paraId="00000003">
      <w:pPr>
        <w:numPr>
          <w:ilvl w:val="1"/>
          <w:numId w:val="1"/>
        </w:numPr>
        <w:spacing w:after="0" w:afterAutospacing="0" w:lineRule="auto"/>
        <w:ind w:left="1440" w:hanging="360"/>
      </w:pPr>
      <w:r w:rsidDel="00000000" w:rsidR="00000000" w:rsidRPr="00000000">
        <w:rPr>
          <w:rFonts w:ascii="Roboto" w:cs="Roboto" w:eastAsia="Roboto" w:hAnsi="Roboto"/>
          <w:color w:val="1d2125"/>
          <w:sz w:val="23"/>
          <w:szCs w:val="23"/>
          <w:rtl w:val="0"/>
        </w:rPr>
        <w:t xml:space="preserve">Elementos incluidos en los gráficos según la </w:t>
      </w:r>
      <w:hyperlink r:id="rId6">
        <w:r w:rsidDel="00000000" w:rsidR="00000000" w:rsidRPr="00000000">
          <w:rPr>
            <w:rFonts w:ascii="Roboto" w:cs="Roboto" w:eastAsia="Roboto" w:hAnsi="Roboto"/>
            <w:color w:val="5c068c"/>
            <w:sz w:val="23"/>
            <w:szCs w:val="23"/>
            <w:rtl w:val="0"/>
          </w:rPr>
          <w:t xml:space="preserve">gramática de gráficos</w:t>
        </w:r>
      </w:hyperlink>
      <w:r w:rsidDel="00000000" w:rsidR="00000000" w:rsidRPr="00000000">
        <w:rPr>
          <w:rFonts w:ascii="Roboto" w:cs="Roboto" w:eastAsia="Roboto" w:hAnsi="Roboto"/>
          <w:color w:val="1d2125"/>
          <w:sz w:val="23"/>
          <w:szCs w:val="23"/>
          <w:rtl w:val="0"/>
        </w:rPr>
        <w:t xml:space="preserve">.</w:t>
      </w:r>
    </w:p>
    <w:p w:rsidR="00000000" w:rsidDel="00000000" w:rsidP="00000000" w:rsidRDefault="00000000" w:rsidRPr="00000000" w14:paraId="00000004">
      <w:pPr>
        <w:numPr>
          <w:ilvl w:val="1"/>
          <w:numId w:val="1"/>
        </w:numPr>
        <w:spacing w:after="0" w:afterAutospacing="0" w:lineRule="auto"/>
        <w:ind w:left="1440" w:hanging="360"/>
      </w:pPr>
      <w:r w:rsidDel="00000000" w:rsidR="00000000" w:rsidRPr="00000000">
        <w:rPr>
          <w:rFonts w:ascii="Roboto" w:cs="Roboto" w:eastAsia="Roboto" w:hAnsi="Roboto"/>
          <w:color w:val="1d2125"/>
          <w:sz w:val="23"/>
          <w:szCs w:val="23"/>
          <w:rtl w:val="0"/>
        </w:rPr>
        <w:t xml:space="preserve">Características que cumple el gráfico según los </w:t>
      </w:r>
      <w:hyperlink r:id="rId7">
        <w:r w:rsidDel="00000000" w:rsidR="00000000" w:rsidRPr="00000000">
          <w:rPr>
            <w:rFonts w:ascii="Roboto" w:cs="Roboto" w:eastAsia="Roboto" w:hAnsi="Roboto"/>
            <w:color w:val="5c068c"/>
            <w:sz w:val="23"/>
            <w:szCs w:val="23"/>
            <w:rtl w:val="0"/>
          </w:rPr>
          <w:t xml:space="preserve">principios de diseño</w:t>
        </w:r>
      </w:hyperlink>
      <w:r w:rsidDel="00000000" w:rsidR="00000000" w:rsidRPr="00000000">
        <w:rPr>
          <w:rFonts w:ascii="Roboto" w:cs="Roboto" w:eastAsia="Roboto" w:hAnsi="Roboto"/>
          <w:color w:val="1d2125"/>
          <w:sz w:val="23"/>
          <w:szCs w:val="23"/>
          <w:rtl w:val="0"/>
        </w:rPr>
        <w:t xml:space="preserve">.</w:t>
      </w:r>
    </w:p>
    <w:p w:rsidR="00000000" w:rsidDel="00000000" w:rsidP="00000000" w:rsidRDefault="00000000" w:rsidRPr="00000000" w14:paraId="00000005">
      <w:pPr>
        <w:numPr>
          <w:ilvl w:val="1"/>
          <w:numId w:val="1"/>
        </w:numPr>
        <w:spacing w:after="0" w:afterAutospacing="0" w:lineRule="auto"/>
        <w:ind w:left="1440" w:hanging="360"/>
      </w:pPr>
      <w:r w:rsidDel="00000000" w:rsidR="00000000" w:rsidRPr="00000000">
        <w:rPr>
          <w:rFonts w:ascii="Roboto" w:cs="Roboto" w:eastAsia="Roboto" w:hAnsi="Roboto"/>
          <w:color w:val="1d2125"/>
          <w:sz w:val="23"/>
          <w:szCs w:val="23"/>
          <w:rtl w:val="0"/>
        </w:rPr>
        <w:t xml:space="preserve">Recomendaciones de diseño que se han seguido para conseguir un gráfico de calidad.</w:t>
      </w:r>
    </w:p>
    <w:p w:rsidR="00000000" w:rsidDel="00000000" w:rsidP="00000000" w:rsidRDefault="00000000" w:rsidRPr="00000000" w14:paraId="00000006">
      <w:pPr>
        <w:numPr>
          <w:ilvl w:val="1"/>
          <w:numId w:val="1"/>
        </w:numPr>
        <w:spacing w:after="0" w:afterAutospacing="0" w:lineRule="auto"/>
        <w:ind w:left="1440" w:hanging="360"/>
        <w:rPr>
          <w:rFonts w:ascii="Roboto" w:cs="Roboto" w:eastAsia="Roboto" w:hAnsi="Roboto"/>
          <w:color w:val="1d2125"/>
          <w:sz w:val="23"/>
          <w:szCs w:val="23"/>
          <w:u w:val="none"/>
        </w:rPr>
      </w:pPr>
      <w:r w:rsidDel="00000000" w:rsidR="00000000" w:rsidRPr="00000000">
        <w:rPr>
          <w:rFonts w:ascii="Roboto" w:cs="Roboto" w:eastAsia="Roboto" w:hAnsi="Roboto"/>
          <w:color w:val="1d2125"/>
          <w:sz w:val="23"/>
          <w:szCs w:val="23"/>
          <w:rtl w:val="0"/>
        </w:rPr>
        <w:t xml:space="preserve">Breve explicación respecto a la arquitectura del proyecto con respecto a los principios DataOps.</w:t>
      </w:r>
    </w:p>
    <w:p w:rsidR="00000000" w:rsidDel="00000000" w:rsidP="00000000" w:rsidRDefault="00000000" w:rsidRPr="00000000" w14:paraId="00000007">
      <w:pPr>
        <w:numPr>
          <w:ilvl w:val="1"/>
          <w:numId w:val="1"/>
        </w:numPr>
        <w:spacing w:after="240" w:lineRule="auto"/>
        <w:ind w:left="1440" w:hanging="360"/>
        <w:rPr>
          <w:rFonts w:ascii="Roboto" w:cs="Roboto" w:eastAsia="Roboto" w:hAnsi="Roboto"/>
          <w:color w:val="1d2125"/>
          <w:sz w:val="23"/>
          <w:szCs w:val="23"/>
          <w:u w:val="none"/>
        </w:rPr>
      </w:pPr>
      <w:r w:rsidDel="00000000" w:rsidR="00000000" w:rsidRPr="00000000">
        <w:rPr>
          <w:rFonts w:ascii="Roboto" w:cs="Roboto" w:eastAsia="Roboto" w:hAnsi="Roboto"/>
          <w:color w:val="1d2125"/>
          <w:sz w:val="23"/>
          <w:szCs w:val="23"/>
          <w:rtl w:val="0"/>
        </w:rPr>
        <w:t xml:space="preserve">Uso de checks para garantizar la calidad de los assets que se generan.</w:t>
      </w:r>
    </w:p>
    <w:p w:rsidR="00000000" w:rsidDel="00000000" w:rsidP="00000000" w:rsidRDefault="00000000" w:rsidRPr="00000000" w14:paraId="00000008">
      <w:pPr>
        <w:shd w:fill="f8f9fa"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Los conjuntos de datos que se deben utilizar corresponden a datos de renta, ocupación, relación con la actividad en las secciones de la provincia de Santa Cruz de Tenerife en los años 2021-2023. Se debe usar al menos 3 de los conjuntos que se presentan a continuación. Se valora la variedad y la ampliación de las fuentes.</w:t>
      </w:r>
    </w:p>
    <w:p w:rsidR="00000000" w:rsidDel="00000000" w:rsidP="00000000" w:rsidRDefault="00000000" w:rsidRPr="00000000" w14:paraId="00000009">
      <w:pPr>
        <w:shd w:fill="f8f9fa" w:val="clear"/>
        <w:spacing w:after="240"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Distribución de renta según fuente de ingresos (salarios, pensiones, prestaciones, etc.) Estos ya han sido utilizados pero ahora se proporcionan por secciones. Para más información, opción “Qué miden los datos”  en el enlace: </w:t>
      </w:r>
      <w:hyperlink r:id="rId8">
        <w:r w:rsidDel="00000000" w:rsidR="00000000" w:rsidRPr="00000000">
          <w:rPr>
            <w:rFonts w:ascii="Roboto" w:cs="Roboto" w:eastAsia="Roboto" w:hAnsi="Roboto"/>
            <w:color w:val="1155cc"/>
            <w:sz w:val="21"/>
            <w:szCs w:val="21"/>
            <w:highlight w:val="white"/>
            <w:u w:val="single"/>
            <w:rtl w:val="0"/>
          </w:rPr>
          <w:t xml:space="preserve">https://www3.gobiernodecanarias.org/istac/statistical-visualizer/visualizer/data.html?resourceType=dataset&amp;agencyId=ISTAC&amp;resourceId=E30325A_000002&amp;version=2.1#visualization/info</w:t>
        </w:r>
      </w:hyperlink>
      <w:r w:rsidDel="00000000" w:rsidR="00000000" w:rsidRPr="00000000">
        <w:rPr>
          <w:rtl w:val="0"/>
        </w:rPr>
      </w:r>
    </w:p>
    <w:p w:rsidR="00000000" w:rsidDel="00000000" w:rsidP="00000000" w:rsidRDefault="00000000" w:rsidRPr="00000000" w14:paraId="0000000A">
      <w:pPr>
        <w:shd w:fill="f8f9fa" w:val="clear"/>
        <w:spacing w:after="240" w:lineRule="auto"/>
        <w:rPr>
          <w:rFonts w:ascii="Roboto" w:cs="Roboto" w:eastAsia="Roboto" w:hAnsi="Roboto"/>
          <w:color w:val="333333"/>
          <w:sz w:val="21"/>
          <w:szCs w:val="21"/>
          <w:highlight w:val="white"/>
        </w:rPr>
      </w:pPr>
      <w:r w:rsidDel="00000000" w:rsidR="00000000" w:rsidRPr="00000000">
        <w:rPr>
          <w:rFonts w:ascii="Nova Mono" w:cs="Nova Mono" w:eastAsia="Nova Mono" w:hAnsi="Nova Mono"/>
          <w:color w:val="333333"/>
          <w:sz w:val="21"/>
          <w:szCs w:val="21"/>
          <w:highlight w:val="white"/>
          <w:rtl w:val="0"/>
        </w:rPr>
        <w:t xml:space="preserve">Renta bruta media y mediana por secciones. Se proporcionan años 2021-2023. El mapa que se debe utilizar para cada año corresponde a las secciones del siguiente año: 2021→ 2022; 2022→2023; 2023→2024 . Para más información, opción “Qué miden los datos” en el enlace:  </w:t>
      </w:r>
      <w:hyperlink r:id="rId9">
        <w:r w:rsidDel="00000000" w:rsidR="00000000" w:rsidRPr="00000000">
          <w:rPr>
            <w:rFonts w:ascii="Roboto" w:cs="Roboto" w:eastAsia="Roboto" w:hAnsi="Roboto"/>
            <w:color w:val="1155cc"/>
            <w:sz w:val="21"/>
            <w:szCs w:val="21"/>
            <w:highlight w:val="white"/>
            <w:u w:val="single"/>
            <w:rtl w:val="0"/>
          </w:rPr>
          <w:t xml:space="preserve">https://www3.gobiernodecanarias.org/istac/statistical-visualizer/visualizer/data.html?resourceType=dataset&amp;agencyId=ISTAC&amp;resourceId=E30325A_000009&amp;version=%7Elatest&amp;multidatasetId=ISTAC%3AE30325A_000001#visualization/info</w:t>
        </w:r>
      </w:hyperlink>
      <w:r w:rsidDel="00000000" w:rsidR="00000000" w:rsidRPr="00000000">
        <w:rPr>
          <w:rtl w:val="0"/>
        </w:rPr>
      </w:r>
    </w:p>
    <w:p w:rsidR="00000000" w:rsidDel="00000000" w:rsidP="00000000" w:rsidRDefault="00000000" w:rsidRPr="00000000" w14:paraId="0000000B">
      <w:pPr>
        <w:shd w:fill="f8f9fa" w:val="clear"/>
        <w:spacing w:after="240"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Sector de ocupación. Se debe utilizar el mapa del año correspondiente.</w:t>
      </w:r>
      <w:r w:rsidDel="00000000" w:rsidR="00000000" w:rsidRPr="00000000">
        <w:rPr>
          <w:rtl w:val="0"/>
        </w:rPr>
        <w:t xml:space="preserve"> Censo anual de población (Ocupación y actividad) 2021-2023 https://www.ine.es/jaxiT3/Tabla.htm?t=70125&amp;L=0</w:t>
      </w:r>
      <w:r w:rsidDel="00000000" w:rsidR="00000000" w:rsidRPr="00000000">
        <w:rPr>
          <w:rtl w:val="0"/>
        </w:rPr>
      </w:r>
    </w:p>
    <w:p w:rsidR="00000000" w:rsidDel="00000000" w:rsidP="00000000" w:rsidRDefault="00000000" w:rsidRPr="00000000" w14:paraId="0000000C">
      <w:pPr>
        <w:shd w:fill="f8f9fa" w:val="clear"/>
        <w:spacing w:after="240" w:lineRule="auto"/>
        <w:rPr/>
      </w:pPr>
      <w:r w:rsidDel="00000000" w:rsidR="00000000" w:rsidRPr="00000000">
        <w:rPr>
          <w:rFonts w:ascii="Roboto" w:cs="Roboto" w:eastAsia="Roboto" w:hAnsi="Roboto"/>
          <w:color w:val="333333"/>
          <w:sz w:val="21"/>
          <w:szCs w:val="21"/>
          <w:highlight w:val="white"/>
          <w:rtl w:val="0"/>
        </w:rPr>
        <w:t xml:space="preserve">Relación con la actividad. Se debe utilizar el mapa del año correspondiente. </w:t>
      </w:r>
      <w:r w:rsidDel="00000000" w:rsidR="00000000" w:rsidRPr="00000000">
        <w:rPr>
          <w:color w:val="333333"/>
          <w:sz w:val="21"/>
          <w:szCs w:val="21"/>
          <w:highlight w:val="white"/>
          <w:rtl w:val="0"/>
        </w:rPr>
        <w:t xml:space="preserve"> </w:t>
      </w:r>
      <w:r w:rsidDel="00000000" w:rsidR="00000000" w:rsidRPr="00000000">
        <w:rPr>
          <w:rtl w:val="0"/>
        </w:rPr>
        <w:t xml:space="preserve"> </w:t>
      </w:r>
      <w:hyperlink r:id="rId10">
        <w:r w:rsidDel="00000000" w:rsidR="00000000" w:rsidRPr="00000000">
          <w:rPr>
            <w:color w:val="1155cc"/>
            <w:u w:val="single"/>
            <w:rtl w:val="0"/>
          </w:rPr>
          <w:t xml:space="preserve">Población de 16 y más años por país de nacimiento (España/extranjero) y relación con la actividad (agrupado).</w:t>
        </w:r>
      </w:hyperlink>
      <w:r w:rsidDel="00000000" w:rsidR="00000000" w:rsidRPr="00000000">
        <w:rPr>
          <w:rtl w:val="0"/>
        </w:rPr>
      </w:r>
    </w:p>
    <w:p w:rsidR="00000000" w:rsidDel="00000000" w:rsidP="00000000" w:rsidRDefault="00000000" w:rsidRPr="00000000" w14:paraId="0000000D">
      <w:pPr>
        <w:shd w:fill="f8f9fa" w:val="clear"/>
        <w:spacing w:after="240" w:lineRule="auto"/>
        <w:rPr>
          <w:rFonts w:ascii="Roboto" w:cs="Roboto" w:eastAsia="Roboto" w:hAnsi="Roboto"/>
          <w:color w:val="333333"/>
          <w:sz w:val="21"/>
          <w:szCs w:val="21"/>
          <w:highlight w:val="white"/>
        </w:rPr>
      </w:pPr>
      <w:r w:rsidDel="00000000" w:rsidR="00000000" w:rsidRPr="00000000">
        <w:rPr>
          <w:rtl w:val="0"/>
        </w:rPr>
      </w:r>
    </w:p>
    <w:p w:rsidR="00000000" w:rsidDel="00000000" w:rsidP="00000000" w:rsidRDefault="00000000" w:rsidRPr="00000000" w14:paraId="0000000E">
      <w:pPr>
        <w:shd w:fill="f8f9fa" w:val="clear"/>
        <w:spacing w:after="240" w:lineRule="auto"/>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Tanto los mapas como los conjuntos de datos están disponibles en: </w:t>
      </w:r>
      <w:hyperlink r:id="rId11">
        <w:r w:rsidDel="00000000" w:rsidR="00000000" w:rsidRPr="00000000">
          <w:rPr>
            <w:rFonts w:ascii="Roboto" w:cs="Roboto" w:eastAsia="Roboto" w:hAnsi="Roboto"/>
            <w:color w:val="1155cc"/>
            <w:sz w:val="21"/>
            <w:szCs w:val="21"/>
            <w:highlight w:val="white"/>
            <w:u w:val="single"/>
            <w:rtl w:val="0"/>
          </w:rPr>
          <w:t xml:space="preserve">https://drive.google.com/drive/folders/1eNIl0wt0X-bPu8UHAgDi3jkIhwJexwAC?usp=sharing</w:t>
        </w:r>
      </w:hyperlink>
      <w:r w:rsidDel="00000000" w:rsidR="00000000" w:rsidRPr="00000000">
        <w:rPr>
          <w:rtl w:val="0"/>
        </w:rPr>
      </w:r>
    </w:p>
    <w:p w:rsidR="00000000" w:rsidDel="00000000" w:rsidP="00000000" w:rsidRDefault="00000000" w:rsidRPr="00000000" w14:paraId="0000000F">
      <w:pPr>
        <w:shd w:fill="f8f9fa" w:val="clear"/>
        <w:spacing w:after="240" w:lineRule="auto"/>
        <w:rPr>
          <w:rFonts w:ascii="Roboto" w:cs="Roboto" w:eastAsia="Roboto" w:hAnsi="Roboto"/>
          <w:color w:val="333333"/>
          <w:sz w:val="21"/>
          <w:szCs w:val="21"/>
          <w:highlight w:val="whit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d2125"/>
        <w:sz w:val="23"/>
        <w:szCs w:val="23"/>
        <w:u w:val="none"/>
      </w:rPr>
    </w:lvl>
    <w:lvl w:ilvl="1">
      <w:start w:val="1"/>
      <w:numFmt w:val="bullet"/>
      <w:lvlText w:val="○"/>
      <w:lvlJc w:val="left"/>
      <w:pPr>
        <w:ind w:left="1440" w:hanging="360"/>
      </w:pPr>
      <w:rPr>
        <w:rFonts w:ascii="Roboto" w:cs="Roboto" w:eastAsia="Roboto" w:hAnsi="Roboto"/>
        <w:color w:val="1d2125"/>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eNIl0wt0X-bPu8UHAgDi3jkIhwJexwAC?usp=sharing" TargetMode="External"/><Relationship Id="rId10" Type="http://schemas.openxmlformats.org/officeDocument/2006/relationships/hyperlink" Target="https://www.ine.es/jaxiT3/Tabla.htm?t=66796&amp;L=0" TargetMode="External"/><Relationship Id="rId9" Type="http://schemas.openxmlformats.org/officeDocument/2006/relationships/hyperlink" Target="https://www3.gobiernodecanarias.org/istac/statistical-visualizer/visualizer/data.html?resourceType=dataset&amp;agencyId=ISTAC&amp;resourceId=E30325A_000009&amp;version=%7Elatest&amp;multidatasetId=ISTAC%3AE30325A_000001#visualization/info" TargetMode="External"/><Relationship Id="rId5" Type="http://schemas.openxmlformats.org/officeDocument/2006/relationships/styles" Target="styles.xml"/><Relationship Id="rId6" Type="http://schemas.openxmlformats.org/officeDocument/2006/relationships/hyperlink" Target="https://campusdoctoradoyposgrado2223.ull.es/mod/url/view.php?id=47587" TargetMode="External"/><Relationship Id="rId7" Type="http://schemas.openxmlformats.org/officeDocument/2006/relationships/hyperlink" Target="https://campusdoctoradoyposgrado2223.ull.es/mod/url/view.php?id=48900&amp;_gl=1*195vxly*_ga*MTgxMjg2MzEwNS4xNjg2OTIwMzQ0*_ga_6RJ3KFHMQ0*MTcxMDM0ODAwNi4xNzQuMS4xNzEwMzUyNTI0LjAuMC4w" TargetMode="External"/><Relationship Id="rId8" Type="http://schemas.openxmlformats.org/officeDocument/2006/relationships/hyperlink" Target="https://www3.gobiernodecanarias.org/istac/statistical-visualizer/visualizer/data.html?resourceType=dataset&amp;agencyId=ISTAC&amp;resourceId=E30325A_000002&amp;version=2.1#visualization/inf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